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95"/>
        <w:gridCol w:w="2438"/>
        <w:gridCol w:w="4656"/>
      </w:tblGrid>
      <w:tr w:rsidR="007B4B02" w:rsidTr="7D24C8BD" w14:paraId="596E4F12" w14:textId="43D5F7B1">
        <w:trPr>
          <w:cantSplit/>
        </w:trPr>
        <w:tc>
          <w:tcPr>
            <w:tcW w:w="4133" w:type="dxa"/>
            <w:gridSpan w:val="2"/>
            <w:shd w:val="clear" w:color="auto" w:fill="FFFFFF" w:themeFill="background1"/>
            <w:tcMar/>
          </w:tcPr>
          <w:p w:rsidR="007B4B02" w:rsidRDefault="007B4B02" w14:paraId="0A29DBD8" w14:textId="77777777">
            <w:pPr>
              <w:spacing w:before="120" w:after="120"/>
              <w:ind w:left="284" w:right="284"/>
              <w:jc w:val="center"/>
              <w:rPr>
                <w:rFonts w:ascii="Arial" w:hAnsi="Arial"/>
                <w:b/>
                <w:sz w:val="24"/>
              </w:rPr>
            </w:pPr>
            <w:r>
              <w:rPr>
                <w:rFonts w:ascii="Arial" w:hAnsi="Arial"/>
                <w:b/>
                <w:sz w:val="24"/>
              </w:rPr>
              <w:t>Informe Convocatoria Subvenciones</w:t>
            </w:r>
          </w:p>
        </w:tc>
        <w:tc>
          <w:tcPr>
            <w:tcW w:w="4656" w:type="dxa"/>
            <w:tcMar/>
          </w:tcPr>
          <w:p w:rsidR="007B4B02" w:rsidRDefault="00427B62" w14:paraId="02E39F73" w14:textId="15289E5F">
            <w:pPr>
              <w:jc w:val="right"/>
              <w:rPr>
                <w:rFonts w:ascii="Arial" w:hAnsi="Arial"/>
                <w:sz w:val="24"/>
              </w:rPr>
            </w:pPr>
            <w:r w:rsidRPr="16067F8A" w:rsidR="00427B62">
              <w:rPr>
                <w:rFonts w:ascii="Arial" w:hAnsi="Arial"/>
                <w:sz w:val="24"/>
                <w:szCs w:val="24"/>
              </w:rPr>
              <w:t>Pepe Marín García</w:t>
            </w:r>
          </w:p>
          <w:p w:rsidR="007B4B02" w:rsidP="7DE38038" w:rsidRDefault="302FC106" w14:paraId="7168B82B" w14:textId="23EC2238">
            <w:pPr>
              <w:jc w:val="right"/>
              <w:rPr>
                <w:rFonts w:ascii="Arial" w:hAnsi="Arial"/>
                <w:sz w:val="24"/>
                <w:szCs w:val="24"/>
              </w:rPr>
            </w:pPr>
            <w:r w:rsidRPr="16067F8A" w:rsidR="4DAB3CD7">
              <w:rPr>
                <w:rFonts w:ascii="Arial" w:hAnsi="Arial"/>
                <w:sz w:val="24"/>
                <w:szCs w:val="24"/>
              </w:rPr>
              <w:t>04</w:t>
            </w:r>
            <w:r w:rsidRPr="16067F8A" w:rsidR="00E55DD0">
              <w:rPr>
                <w:rFonts w:ascii="Arial" w:hAnsi="Arial"/>
                <w:sz w:val="24"/>
                <w:szCs w:val="24"/>
              </w:rPr>
              <w:t>/0</w:t>
            </w:r>
            <w:r w:rsidRPr="16067F8A" w:rsidR="02AC30AF">
              <w:rPr>
                <w:rFonts w:ascii="Arial" w:hAnsi="Arial"/>
                <w:sz w:val="24"/>
                <w:szCs w:val="24"/>
              </w:rPr>
              <w:t>7</w:t>
            </w:r>
            <w:r w:rsidRPr="16067F8A" w:rsidR="00E55DD0">
              <w:rPr>
                <w:rFonts w:ascii="Arial" w:hAnsi="Arial"/>
                <w:sz w:val="24"/>
                <w:szCs w:val="24"/>
              </w:rPr>
              <w:t>/202</w:t>
            </w:r>
            <w:r w:rsidRPr="16067F8A" w:rsidR="00B01F9F">
              <w:rPr>
                <w:rFonts w:ascii="Arial" w:hAnsi="Arial"/>
                <w:sz w:val="24"/>
                <w:szCs w:val="24"/>
              </w:rPr>
              <w:t>4</w:t>
            </w:r>
          </w:p>
        </w:tc>
      </w:tr>
      <w:tr w:rsidR="007B4B02" w:rsidTr="7D24C8BD" w14:paraId="21396F80" w14:textId="1456253D">
        <w:tc>
          <w:tcPr>
            <w:tcW w:w="1695" w:type="dxa"/>
            <w:tcMar/>
          </w:tcPr>
          <w:p w:rsidR="007B4B02" w:rsidRDefault="007B4B02" w14:paraId="77DC4345" w14:textId="77777777">
            <w:pPr>
              <w:rPr>
                <w:rFonts w:ascii="Arial" w:hAnsi="Arial"/>
                <w:sz w:val="24"/>
              </w:rPr>
            </w:pPr>
            <w:r>
              <w:rPr>
                <w:rFonts w:ascii="Arial" w:hAnsi="Arial"/>
                <w:sz w:val="24"/>
              </w:rPr>
              <w:t>ASUNTO</w:t>
            </w:r>
          </w:p>
        </w:tc>
        <w:tc>
          <w:tcPr>
            <w:tcW w:w="7094" w:type="dxa"/>
            <w:gridSpan w:val="2"/>
            <w:tcMar/>
          </w:tcPr>
          <w:p w:rsidR="646CBB88" w:rsidP="7D24C8BD" w:rsidRDefault="646CBB88" w14:paraId="17A81C21" w14:textId="26491345">
            <w:pPr>
              <w:pStyle w:val="Normal"/>
              <w:rPr>
                <w:rFonts w:ascii="Arial" w:hAnsi="Arial" w:eastAsia="Arial" w:cs="Arial"/>
                <w:noProof w:val="0"/>
                <w:sz w:val="22"/>
                <w:szCs w:val="22"/>
                <w:lang w:val="es-ES"/>
              </w:rPr>
            </w:pPr>
            <w:r w:rsidRPr="7D24C8BD" w:rsidR="646CBB88">
              <w:rPr>
                <w:rFonts w:ascii="Open Sans" w:hAnsi="Open Sans" w:eastAsia="Open Sans" w:cs="Open Sans"/>
                <w:b w:val="1"/>
                <w:bCs w:val="1"/>
                <w:i w:val="0"/>
                <w:iCs w:val="0"/>
                <w:caps w:val="0"/>
                <w:smallCaps w:val="0"/>
                <w:noProof w:val="0"/>
                <w:color w:val="333333"/>
                <w:sz w:val="37"/>
                <w:szCs w:val="37"/>
                <w:lang w:val="es-ES"/>
              </w:rPr>
              <w:t>Convocatoria: CONVOCATORIA UNO A UNO PROGRAMA DE INCLUSION SOCIAL (PIN) 2024-2025</w:t>
            </w:r>
          </w:p>
          <w:p w:rsidRPr="00FD1647" w:rsidR="007B4B02" w:rsidP="16067F8A" w:rsidRDefault="35D633BA" w14:paraId="580DB72F" w14:textId="3B1EE877">
            <w:pPr>
              <w:pStyle w:val="Normal"/>
              <w:rPr>
                <w:rFonts w:ascii="Arial" w:hAnsi="Arial" w:eastAsia="Arial" w:cs="Arial"/>
                <w:b w:val="0"/>
                <w:bCs w:val="0"/>
                <w:i w:val="0"/>
                <w:iCs w:val="0"/>
                <w:caps w:val="0"/>
                <w:smallCaps w:val="0"/>
                <w:color w:val="000000" w:themeColor="text1" w:themeTint="FF" w:themeShade="FF"/>
                <w:sz w:val="22"/>
                <w:szCs w:val="22"/>
                <w:lang w:eastAsia="es-ES" w:bidi="ar-SA"/>
              </w:rPr>
            </w:pPr>
          </w:p>
        </w:tc>
      </w:tr>
      <w:tr w:rsidR="007B4B02" w:rsidTr="7D24C8BD" w14:paraId="300C0C2D" w14:textId="574D2CEE">
        <w:tc>
          <w:tcPr>
            <w:tcW w:w="1695" w:type="dxa"/>
            <w:tcMar/>
          </w:tcPr>
          <w:p w:rsidR="007B4B02" w:rsidRDefault="007B4B02" w14:paraId="33774AC8" w14:textId="77777777">
            <w:pPr>
              <w:rPr>
                <w:rFonts w:ascii="Arial" w:hAnsi="Arial"/>
                <w:sz w:val="24"/>
              </w:rPr>
            </w:pPr>
            <w:r>
              <w:rPr>
                <w:rFonts w:ascii="Arial" w:hAnsi="Arial"/>
                <w:sz w:val="24"/>
              </w:rPr>
              <w:t>INTER</w:t>
            </w:r>
            <w:r w:rsidR="000F57AF">
              <w:rPr>
                <w:rFonts w:ascii="Arial" w:hAnsi="Arial"/>
                <w:sz w:val="24"/>
              </w:rPr>
              <w:t>É</w:t>
            </w:r>
            <w:r>
              <w:rPr>
                <w:rFonts w:ascii="Arial" w:hAnsi="Arial"/>
                <w:sz w:val="24"/>
              </w:rPr>
              <w:t>S</w:t>
            </w:r>
          </w:p>
        </w:tc>
        <w:tc>
          <w:tcPr>
            <w:tcW w:w="7094" w:type="dxa"/>
            <w:gridSpan w:val="2"/>
            <w:tcMar/>
          </w:tcPr>
          <w:p w:rsidR="007B4B02" w:rsidP="007B4B02" w:rsidRDefault="007B4B02" w14:paraId="027CA6DD" w14:textId="77777777">
            <w:pPr>
              <w:numPr>
                <w:ilvl w:val="0"/>
                <w:numId w:val="1"/>
              </w:numPr>
              <w:rPr>
                <w:rFonts w:ascii="Arial" w:hAnsi="Arial"/>
                <w:sz w:val="22"/>
                <w:szCs w:val="22"/>
              </w:rPr>
            </w:pPr>
            <w:r w:rsidRPr="48CF8B04">
              <w:rPr>
                <w:rFonts w:ascii="Arial" w:hAnsi="Arial"/>
                <w:sz w:val="22"/>
                <w:szCs w:val="22"/>
              </w:rPr>
              <w:t>Para Asociaciones en general</w:t>
            </w:r>
          </w:p>
          <w:p w:rsidRPr="00B377C0" w:rsidR="007B4B02" w:rsidP="00B377C0" w:rsidRDefault="007B4B02" w14:paraId="1AB1BF7E" w14:textId="77777777">
            <w:pPr>
              <w:numPr>
                <w:ilvl w:val="0"/>
                <w:numId w:val="2"/>
              </w:numPr>
              <w:rPr>
                <w:rFonts w:ascii="Arial" w:hAnsi="Arial"/>
                <w:sz w:val="22"/>
                <w:szCs w:val="22"/>
              </w:rPr>
            </w:pPr>
            <w:r w:rsidRPr="48CF8B04">
              <w:rPr>
                <w:rFonts w:ascii="Arial" w:hAnsi="Arial"/>
                <w:sz w:val="22"/>
                <w:szCs w:val="22"/>
              </w:rPr>
              <w:t xml:space="preserve">En </w:t>
            </w:r>
            <w:r w:rsidRPr="48CF8B04" w:rsidR="007A41A7">
              <w:rPr>
                <w:rFonts w:ascii="Arial" w:hAnsi="Arial"/>
                <w:sz w:val="22"/>
                <w:szCs w:val="22"/>
              </w:rPr>
              <w:t>Plena Inclusión Murcia</w:t>
            </w:r>
            <w:r w:rsidRPr="48CF8B04">
              <w:rPr>
                <w:rFonts w:ascii="Arial" w:hAnsi="Arial"/>
                <w:sz w:val="22"/>
                <w:szCs w:val="22"/>
              </w:rPr>
              <w:t xml:space="preserve">:  </w:t>
            </w:r>
            <w:r w:rsidRPr="48CF8B04" w:rsidR="00A3722C">
              <w:rPr>
                <w:rFonts w:ascii="Arial" w:hAnsi="Arial"/>
                <w:sz w:val="22"/>
                <w:szCs w:val="22"/>
              </w:rPr>
              <w:t>Dirección Técnica</w:t>
            </w:r>
            <w:r w:rsidRPr="48CF8B04" w:rsidR="00B5685E">
              <w:rPr>
                <w:rFonts w:ascii="Arial" w:hAnsi="Arial"/>
                <w:sz w:val="22"/>
                <w:szCs w:val="22"/>
              </w:rPr>
              <w:t xml:space="preserve"> y </w:t>
            </w:r>
            <w:r w:rsidRPr="48CF8B04" w:rsidR="0038789E">
              <w:rPr>
                <w:rFonts w:ascii="Arial" w:hAnsi="Arial"/>
                <w:sz w:val="22"/>
                <w:szCs w:val="22"/>
              </w:rPr>
              <w:t xml:space="preserve">Equipo </w:t>
            </w:r>
            <w:r w:rsidRPr="48CF8B04" w:rsidR="00B5685E">
              <w:rPr>
                <w:rFonts w:ascii="Arial" w:hAnsi="Arial"/>
                <w:sz w:val="22"/>
                <w:szCs w:val="22"/>
              </w:rPr>
              <w:t>Técnico responsable de área</w:t>
            </w:r>
          </w:p>
        </w:tc>
      </w:tr>
      <w:tr w:rsidR="007B4B02" w:rsidTr="7D24C8BD" w14:paraId="2D8471EC" w14:textId="74F7E866">
        <w:tc>
          <w:tcPr>
            <w:tcW w:w="1695" w:type="dxa"/>
            <w:tcMar/>
          </w:tcPr>
          <w:p w:rsidR="007B4B02" w:rsidRDefault="007B4B02" w14:paraId="593BF084" w14:textId="77777777">
            <w:pPr>
              <w:rPr>
                <w:rFonts w:ascii="Arial" w:hAnsi="Arial"/>
                <w:sz w:val="24"/>
              </w:rPr>
            </w:pPr>
            <w:r>
              <w:rPr>
                <w:rFonts w:ascii="Arial" w:hAnsi="Arial"/>
                <w:sz w:val="24"/>
              </w:rPr>
              <w:t>EXPOSICI</w:t>
            </w:r>
            <w:r w:rsidR="000F57AF">
              <w:rPr>
                <w:rFonts w:ascii="Arial" w:hAnsi="Arial"/>
                <w:sz w:val="24"/>
              </w:rPr>
              <w:t>Ó</w:t>
            </w:r>
            <w:r>
              <w:rPr>
                <w:rFonts w:ascii="Arial" w:hAnsi="Arial"/>
                <w:sz w:val="24"/>
              </w:rPr>
              <w:t>N DE MOTIVOS</w:t>
            </w:r>
          </w:p>
        </w:tc>
        <w:tc>
          <w:tcPr>
            <w:tcW w:w="7094" w:type="dxa"/>
            <w:gridSpan w:val="2"/>
            <w:tcMar/>
          </w:tcPr>
          <w:p w:rsidR="007B4B02" w:rsidP="21182CC3" w:rsidRDefault="2ED54C75" w14:paraId="6B86CD72" w14:textId="4126C38A">
            <w:pPr>
              <w:pStyle w:val="Normal"/>
              <w:jc w:val="both"/>
            </w:pPr>
            <w:r w:rsidRPr="7D24C8BD" w:rsidR="746C5C63">
              <w:rPr>
                <w:rFonts w:ascii="Arial" w:hAnsi="Arial" w:eastAsia="Arial" w:cs="Arial"/>
                <w:noProof w:val="0"/>
                <w:sz w:val="22"/>
                <w:szCs w:val="22"/>
                <w:lang w:val="es-ES"/>
              </w:rPr>
              <w:t>La presente convocatoria tiene por objeto seleccionar, en régimen de concurrencia competitiva, operaciones dirigidas a la mejora directa de la empleabilidad de las personas con discapacidad, a través de operaciones de formación dual, que recibirán cofinanciación del FSE+, en el marco del cuarto objetivo político dentro de la Política de cohesión de la Unión Europea en el período 2021-2027: “Una Europa más social e inclusiva”, para la Prioridad 2: Programa FSE+ de Inclusión Social 2021- 2027.</w:t>
            </w:r>
          </w:p>
        </w:tc>
      </w:tr>
      <w:tr w:rsidR="007B4B02" w:rsidTr="7D24C8BD" w14:paraId="4E3D7707" w14:textId="725D74BF">
        <w:tc>
          <w:tcPr>
            <w:tcW w:w="1695" w:type="dxa"/>
            <w:tcMar/>
          </w:tcPr>
          <w:p w:rsidR="007B4B02" w:rsidRDefault="007B4B02" w14:paraId="4D13269A" w14:textId="77777777">
            <w:pPr>
              <w:rPr>
                <w:rFonts w:ascii="Arial" w:hAnsi="Arial"/>
                <w:sz w:val="24"/>
              </w:rPr>
            </w:pPr>
            <w:r>
              <w:rPr>
                <w:rFonts w:ascii="Arial" w:hAnsi="Arial"/>
                <w:sz w:val="24"/>
              </w:rPr>
              <w:t>FINANCIA</w:t>
            </w:r>
          </w:p>
        </w:tc>
        <w:tc>
          <w:tcPr>
            <w:tcW w:w="7094" w:type="dxa"/>
            <w:gridSpan w:val="2"/>
            <w:tcMar/>
          </w:tcPr>
          <w:p w:rsidR="007B4B02" w:rsidP="662BB57F" w:rsidRDefault="02B5F0EB" w14:paraId="72BCC0CD" w14:textId="6082231D">
            <w:pPr>
              <w:rPr>
                <w:rFonts w:ascii="Arial" w:hAnsi="Arial"/>
                <w:sz w:val="22"/>
                <w:szCs w:val="22"/>
              </w:rPr>
            </w:pPr>
            <w:r w:rsidRPr="16067F8A" w:rsidR="0E86739A">
              <w:rPr>
                <w:rFonts w:ascii="Arial" w:hAnsi="Arial"/>
                <w:sz w:val="22"/>
                <w:szCs w:val="22"/>
              </w:rPr>
              <w:t>FUNDACIÓN ONCE/FSE</w:t>
            </w:r>
          </w:p>
        </w:tc>
      </w:tr>
      <w:tr w:rsidR="007B4B02" w:rsidTr="7D24C8BD" w14:paraId="1BF64469" w14:textId="6EFFAA34">
        <w:tc>
          <w:tcPr>
            <w:tcW w:w="1695" w:type="dxa"/>
            <w:tcMar/>
          </w:tcPr>
          <w:p w:rsidR="007B4B02" w:rsidRDefault="007B4B02" w14:paraId="270C1971" w14:textId="77777777">
            <w:pPr>
              <w:rPr>
                <w:rFonts w:ascii="Arial" w:hAnsi="Arial"/>
                <w:sz w:val="24"/>
              </w:rPr>
            </w:pPr>
            <w:r>
              <w:rPr>
                <w:rFonts w:ascii="Arial" w:hAnsi="Arial"/>
                <w:sz w:val="24"/>
              </w:rPr>
              <w:t>FUENTE</w:t>
            </w:r>
          </w:p>
        </w:tc>
        <w:tc>
          <w:tcPr>
            <w:tcW w:w="7094" w:type="dxa"/>
            <w:gridSpan w:val="2"/>
            <w:tcMar/>
          </w:tcPr>
          <w:p w:rsidR="007B4B02" w:rsidP="16067F8A" w:rsidRDefault="11A618BB" w14:paraId="1638CBFC" w14:textId="74EEB3EE">
            <w:pPr>
              <w:pStyle w:val="Normal"/>
              <w:suppressLineNumbers w:val="0"/>
              <w:bidi w:val="0"/>
              <w:spacing w:before="0" w:beforeAutospacing="off" w:after="0" w:afterAutospacing="off" w:line="259" w:lineRule="auto"/>
              <w:ind w:left="0" w:right="0"/>
              <w:jc w:val="left"/>
            </w:pPr>
            <w:r w:rsidRPr="16067F8A" w:rsidR="5FC57A39">
              <w:rPr>
                <w:rFonts w:ascii="Arial" w:hAnsi="Arial"/>
                <w:sz w:val="22"/>
                <w:szCs w:val="22"/>
              </w:rPr>
              <w:t>Fundación ONCE</w:t>
            </w:r>
          </w:p>
        </w:tc>
      </w:tr>
      <w:tr w:rsidR="007B4B02" w:rsidTr="7D24C8BD" w14:paraId="045F20A7" w14:textId="689ACC13">
        <w:tc>
          <w:tcPr>
            <w:tcW w:w="1695" w:type="dxa"/>
            <w:tcMar/>
          </w:tcPr>
          <w:p w:rsidR="007B4B02" w:rsidRDefault="007B4B02" w14:paraId="51AB3D05" w14:textId="77777777">
            <w:pPr>
              <w:rPr>
                <w:rFonts w:ascii="Arial" w:hAnsi="Arial"/>
                <w:sz w:val="24"/>
              </w:rPr>
            </w:pPr>
            <w:r>
              <w:rPr>
                <w:rFonts w:ascii="Arial" w:hAnsi="Arial"/>
                <w:sz w:val="24"/>
              </w:rPr>
              <w:t>PLAZO</w:t>
            </w:r>
          </w:p>
        </w:tc>
        <w:tc>
          <w:tcPr>
            <w:tcW w:w="7094" w:type="dxa"/>
            <w:gridSpan w:val="2"/>
            <w:tcMar/>
          </w:tcPr>
          <w:p w:rsidR="007B4B02" w:rsidP="16067F8A" w:rsidRDefault="401D8C9D" w14:paraId="3150D098" w14:textId="0C071C8F">
            <w:pPr>
              <w:pStyle w:val="Normal"/>
              <w:rPr>
                <w:rFonts w:ascii="Arial" w:hAnsi="Arial" w:eastAsia="Arial" w:cs="Arial"/>
                <w:b w:val="1"/>
                <w:bCs w:val="1"/>
                <w:noProof w:val="0"/>
                <w:sz w:val="22"/>
                <w:szCs w:val="22"/>
                <w:lang w:val="es-ES"/>
              </w:rPr>
            </w:pPr>
            <w:r w:rsidRPr="7D24C8BD" w:rsidR="27812C6C">
              <w:rPr>
                <w:rFonts w:ascii="Arial" w:hAnsi="Arial" w:eastAsia="Arial" w:cs="Arial"/>
                <w:b w:val="1"/>
                <w:bCs w:val="1"/>
                <w:noProof w:val="0"/>
                <w:sz w:val="22"/>
                <w:szCs w:val="22"/>
                <w:lang w:val="es-ES"/>
              </w:rPr>
              <w:t>El plazo de presentación de solicitudes al amparo de esta Convocatoria de Ayudas Económicas de Selección de Operaciones comienza el mismo día de la publicación de esta convocatoria en la Web de Fundación ONCE, el 3 de julio de 2024, y termina el 16 de septiembre del 2024, a las 12:00 horas del mediodía (hora peninsular)</w:t>
            </w:r>
          </w:p>
        </w:tc>
      </w:tr>
      <w:tr w:rsidR="007B4B02" w:rsidTr="7D24C8BD" w14:paraId="64902722" w14:textId="4DBEC689">
        <w:tc>
          <w:tcPr>
            <w:tcW w:w="1695" w:type="dxa"/>
            <w:tcMar/>
          </w:tcPr>
          <w:p w:rsidR="007B4B02" w:rsidRDefault="007B4B02" w14:paraId="50745A71" w14:textId="77777777">
            <w:pPr>
              <w:rPr>
                <w:rFonts w:ascii="Arial" w:hAnsi="Arial"/>
                <w:sz w:val="24"/>
              </w:rPr>
            </w:pPr>
            <w:r>
              <w:rPr>
                <w:rFonts w:ascii="Arial" w:hAnsi="Arial"/>
                <w:sz w:val="24"/>
              </w:rPr>
              <w:t>PUEDEN</w:t>
            </w:r>
          </w:p>
          <w:p w:rsidR="007B4B02" w:rsidRDefault="007B4B02" w14:paraId="1ABE8E99" w14:textId="77777777">
            <w:pPr>
              <w:rPr>
                <w:rFonts w:ascii="Arial" w:hAnsi="Arial"/>
                <w:sz w:val="24"/>
              </w:rPr>
            </w:pPr>
            <w:r>
              <w:rPr>
                <w:rFonts w:ascii="Arial" w:hAnsi="Arial"/>
                <w:sz w:val="24"/>
              </w:rPr>
              <w:t>SOLICITAR</w:t>
            </w:r>
          </w:p>
        </w:tc>
        <w:tc>
          <w:tcPr>
            <w:tcW w:w="7094" w:type="dxa"/>
            <w:gridSpan w:val="2"/>
            <w:tcMar/>
          </w:tcPr>
          <w:p w:rsidR="007B6B17" w:rsidP="1A2D02FB" w:rsidRDefault="43A31406" w14:paraId="1B714C7D" w14:textId="6BC529A7">
            <w:pPr>
              <w:pStyle w:val="Normal"/>
              <w:jc w:val="both"/>
            </w:pPr>
            <w:r w:rsidRPr="16067F8A" w:rsidR="31172291">
              <w:rPr>
                <w:rFonts w:ascii="Arial" w:hAnsi="Arial" w:eastAsia="Arial" w:cs="Arial"/>
                <w:noProof w:val="0"/>
                <w:sz w:val="22"/>
                <w:szCs w:val="22"/>
                <w:lang w:val="es-ES"/>
              </w:rPr>
              <w:t>Las asociaciones, federaciones y confederaciones, las fundaciones no vinculadas a entidades con ánimo de lucro, así como congregaciones religiosas de la discapacidad, cuyo fin estatutario o cuya definición del objeto fundacional esté prioritariamente dirigido a la mejora de la calidad de vida de las personas con discapacidad y/o de sus familias.</w:t>
            </w:r>
          </w:p>
        </w:tc>
      </w:tr>
      <w:tr w:rsidR="007B4B02" w:rsidTr="7D24C8BD" w14:paraId="4DF9E67A" w14:textId="0A355647">
        <w:tc>
          <w:tcPr>
            <w:tcW w:w="1695" w:type="dxa"/>
            <w:tcMar/>
          </w:tcPr>
          <w:p w:rsidR="007B4B02" w:rsidRDefault="007B4B02" w14:paraId="093A2762" w14:textId="77777777">
            <w:pPr>
              <w:rPr>
                <w:rFonts w:ascii="Arial" w:hAnsi="Arial"/>
                <w:sz w:val="24"/>
              </w:rPr>
            </w:pPr>
            <w:r>
              <w:rPr>
                <w:rFonts w:ascii="Arial" w:hAnsi="Arial"/>
                <w:sz w:val="24"/>
              </w:rPr>
              <w:t>CUANT</w:t>
            </w:r>
            <w:r w:rsidR="000F57AF">
              <w:rPr>
                <w:rFonts w:ascii="Arial" w:hAnsi="Arial"/>
                <w:sz w:val="24"/>
              </w:rPr>
              <w:t>Í</w:t>
            </w:r>
            <w:r>
              <w:rPr>
                <w:rFonts w:ascii="Arial" w:hAnsi="Arial"/>
                <w:sz w:val="24"/>
              </w:rPr>
              <w:t>A PROYECTOS</w:t>
            </w:r>
          </w:p>
        </w:tc>
        <w:tc>
          <w:tcPr>
            <w:tcW w:w="7094" w:type="dxa"/>
            <w:gridSpan w:val="2"/>
            <w:tcMar/>
          </w:tcPr>
          <w:p w:rsidR="505ACAAF" w:rsidP="7D24C8BD" w:rsidRDefault="505ACAAF" w14:paraId="5BC7AF3D" w14:textId="2C8D561F">
            <w:pPr>
              <w:pStyle w:val="Normal"/>
              <w:shd w:val="clear" w:color="auto" w:fill="FFFFFF" w:themeFill="background1"/>
              <w:bidi w:val="0"/>
              <w:spacing w:before="0" w:beforeAutospacing="off" w:after="225" w:afterAutospacing="off" w:line="240" w:lineRule="auto"/>
              <w:ind w:left="0" w:right="0"/>
              <w:jc w:val="both"/>
              <w:rPr>
                <w:rFonts w:ascii="Arial" w:hAnsi="Arial" w:eastAsia="Arial" w:cs="Arial"/>
                <w:b w:val="1"/>
                <w:bCs w:val="1"/>
                <w:noProof w:val="0"/>
                <w:sz w:val="22"/>
                <w:szCs w:val="22"/>
                <w:lang w:val="es-ES"/>
              </w:rPr>
            </w:pPr>
            <w:r w:rsidRPr="7D24C8BD" w:rsidR="505ACAAF">
              <w:rPr>
                <w:rFonts w:ascii="Arial" w:hAnsi="Arial" w:eastAsia="Arial" w:cs="Arial"/>
                <w:b w:val="1"/>
                <w:bCs w:val="1"/>
                <w:noProof w:val="0"/>
                <w:sz w:val="22"/>
                <w:szCs w:val="22"/>
                <w:lang w:val="es-ES"/>
              </w:rPr>
              <w:t>Las operaciones que se presenten tendrán un importe mínimo de 22.500 euros y un importe máximo de 45.000 euros por operación.</w:t>
            </w:r>
          </w:p>
          <w:p w:rsidRPr="00FB4615" w:rsidR="007B4B02" w:rsidP="0B92B728" w:rsidRDefault="2314B24B" w14:paraId="1705A0E3" w14:textId="2B38BD1D">
            <w:pPr>
              <w:shd w:val="clear" w:color="auto" w:fill="FFFFFF" w:themeFill="background1"/>
              <w:jc w:val="both"/>
              <w:rPr>
                <w:rFonts w:ascii="Arial" w:hAnsi="Arial" w:eastAsia="Arial" w:cs="Arial"/>
                <w:b w:val="0"/>
                <w:bCs w:val="0"/>
                <w:color w:val="auto"/>
                <w:sz w:val="22"/>
                <w:szCs w:val="22"/>
                <w:lang w:eastAsia="es-ES" w:bidi="ar-SA"/>
              </w:rPr>
            </w:pPr>
          </w:p>
        </w:tc>
      </w:tr>
      <w:tr w:rsidR="007B4B02" w:rsidTr="7D24C8BD" w14:paraId="63B2C709" w14:textId="786CFCA9">
        <w:trPr>
          <w:trHeight w:val="2342"/>
        </w:trPr>
        <w:tc>
          <w:tcPr>
            <w:tcW w:w="1695" w:type="dxa"/>
            <w:tcMar/>
          </w:tcPr>
          <w:p w:rsidR="007B4B02" w:rsidP="0B92B728" w:rsidRDefault="007B4B02" w14:paraId="070BB123" w14:textId="77777777">
            <w:pPr>
              <w:rPr>
                <w:rFonts w:ascii="Arial" w:hAnsi="Arial"/>
                <w:sz w:val="22"/>
                <w:szCs w:val="22"/>
              </w:rPr>
            </w:pPr>
            <w:r w:rsidRPr="0B92B728" w:rsidR="007B4B02">
              <w:rPr>
                <w:rFonts w:ascii="Arial" w:hAnsi="Arial"/>
                <w:sz w:val="22"/>
                <w:szCs w:val="22"/>
              </w:rPr>
              <w:t>PROYECTOS SUBVEN -</w:t>
            </w:r>
          </w:p>
          <w:p w:rsidR="007B4B02" w:rsidP="0B92B728" w:rsidRDefault="007B4B02" w14:paraId="669744E2" w14:textId="77777777">
            <w:pPr>
              <w:rPr>
                <w:rFonts w:ascii="Arial" w:hAnsi="Arial"/>
                <w:sz w:val="22"/>
                <w:szCs w:val="22"/>
              </w:rPr>
            </w:pPr>
            <w:r w:rsidRPr="0B92B728" w:rsidR="007B4B02">
              <w:rPr>
                <w:rFonts w:ascii="Arial" w:hAnsi="Arial"/>
                <w:sz w:val="22"/>
                <w:szCs w:val="22"/>
              </w:rPr>
              <w:t>CIONABLES</w:t>
            </w:r>
          </w:p>
        </w:tc>
        <w:tc>
          <w:tcPr>
            <w:tcW w:w="7094" w:type="dxa"/>
            <w:gridSpan w:val="2"/>
            <w:tcMar/>
          </w:tcPr>
          <w:p w:rsidRPr="0067711D" w:rsidR="00A3061F" w:rsidP="7D24C8BD" w:rsidRDefault="168E3B67" w14:paraId="6D72A3AB" w14:textId="1653B75C">
            <w:pPr>
              <w:pStyle w:val="Normal"/>
              <w:shd w:val="clear" w:color="auto" w:fill="FFFFFF" w:themeFill="background1"/>
              <w:spacing w:before="0" w:beforeAutospacing="off" w:after="225" w:afterAutospacing="off" w:line="360" w:lineRule="auto"/>
              <w:jc w:val="both"/>
              <w:rPr>
                <w:rFonts w:ascii="Arial" w:hAnsi="Arial" w:eastAsia="Arial" w:cs="Arial"/>
                <w:noProof w:val="0"/>
                <w:sz w:val="22"/>
                <w:szCs w:val="22"/>
                <w:lang w:val="es-ES"/>
              </w:rPr>
            </w:pPr>
            <w:r w:rsidRPr="7D24C8BD" w:rsidR="24550144">
              <w:rPr>
                <w:rFonts w:ascii="Arial" w:hAnsi="Arial" w:eastAsia="Arial" w:cs="Arial"/>
                <w:noProof w:val="0"/>
                <w:sz w:val="22"/>
                <w:szCs w:val="22"/>
                <w:lang w:val="es-ES"/>
              </w:rPr>
              <w:t xml:space="preserve">Ver punto </w:t>
            </w:r>
            <w:r w:rsidRPr="7D24C8BD" w:rsidR="24550144">
              <w:rPr>
                <w:rFonts w:ascii="Arial" w:hAnsi="Arial" w:eastAsia="Arial" w:cs="Arial"/>
                <w:noProof w:val="0"/>
                <w:sz w:val="22"/>
                <w:szCs w:val="22"/>
                <w:lang w:val="es-ES"/>
              </w:rPr>
              <w:t>nº</w:t>
            </w:r>
            <w:r w:rsidRPr="7D24C8BD" w:rsidR="24550144">
              <w:rPr>
                <w:rFonts w:ascii="Arial" w:hAnsi="Arial" w:eastAsia="Arial" w:cs="Arial"/>
                <w:noProof w:val="0"/>
                <w:sz w:val="22"/>
                <w:szCs w:val="22"/>
                <w:lang w:val="es-ES"/>
              </w:rPr>
              <w:t xml:space="preserve"> 6 bases.</w:t>
            </w:r>
          </w:p>
          <w:p w:rsidRPr="0067711D" w:rsidR="00A3061F" w:rsidP="16067F8A" w:rsidRDefault="168E3B67" w14:paraId="543A82A5" w14:textId="58796987">
            <w:pPr>
              <w:pStyle w:val="Normal"/>
              <w:shd w:val="clear" w:color="auto" w:fill="FFFFFF" w:themeFill="background1"/>
              <w:spacing w:before="0" w:beforeAutospacing="off" w:after="225" w:afterAutospacing="off" w:line="360" w:lineRule="auto"/>
              <w:jc w:val="both"/>
            </w:pPr>
            <w:r w:rsidRPr="7D24C8BD" w:rsidR="24550144">
              <w:rPr>
                <w:rFonts w:ascii="Arial" w:hAnsi="Arial" w:eastAsia="Arial" w:cs="Arial"/>
                <w:noProof w:val="0"/>
                <w:sz w:val="22"/>
                <w:szCs w:val="22"/>
                <w:lang w:val="es-ES"/>
              </w:rPr>
              <w:t>1. Para asegurar la calidad de los programas formativos y la atención personalizada, se limita la participación a un mínimo inicial de 5 y un máximo de 10 personas participantes por operación. 2. Las operaciones constarán siempre de dos tipos de acciones formativas, que pueden realizarse de forma consecutiva o simultánea en el tiempo: a. Acciones formativas teóricas – con un mínimo de 160 horas por participante. Estas acciones formativas podrán contemplar parte de formación en competencias y habilidades generales para el empleo, pero también deben garantizar la especialización formativa para la adquisición de aquellos conceptos y habilidades básicas necesarias para responder a la necesidad del futuro puesto de trabajo. b. Acciones formativas en puesto de trabajo – con un mínimo de 100 horas de formación en puesto de trabajo por participante- en la que las personas participantes podrán poner en práctica las habilidades y capacidades adquiridas durante el periodo formativo.</w:t>
            </w:r>
          </w:p>
        </w:tc>
      </w:tr>
      <w:tr w:rsidR="007B4B02" w:rsidTr="7D24C8BD" w14:paraId="7E8E0FC4" w14:textId="01BF648D">
        <w:tc>
          <w:tcPr>
            <w:tcW w:w="1695" w:type="dxa"/>
            <w:tcMar/>
          </w:tcPr>
          <w:p w:rsidR="007B4B02" w:rsidRDefault="007B4B02" w14:paraId="5C8A8EF7" w14:textId="77777777">
            <w:pPr>
              <w:rPr>
                <w:rFonts w:ascii="Arial" w:hAnsi="Arial"/>
                <w:sz w:val="24"/>
              </w:rPr>
            </w:pPr>
            <w:r>
              <w:rPr>
                <w:rFonts w:ascii="Arial" w:hAnsi="Arial"/>
                <w:sz w:val="24"/>
              </w:rPr>
              <w:t>DOCUMEN-</w:t>
            </w:r>
          </w:p>
          <w:p w:rsidR="007B4B02" w:rsidRDefault="007B4B02" w14:paraId="4A9B8CBF" w14:textId="77777777">
            <w:pPr>
              <w:rPr>
                <w:rFonts w:ascii="Arial" w:hAnsi="Arial"/>
                <w:sz w:val="24"/>
              </w:rPr>
            </w:pPr>
            <w:r>
              <w:rPr>
                <w:rFonts w:ascii="Arial" w:hAnsi="Arial"/>
                <w:sz w:val="24"/>
              </w:rPr>
              <w:t>TACI</w:t>
            </w:r>
            <w:r w:rsidR="000F57AF">
              <w:rPr>
                <w:rFonts w:ascii="Arial" w:hAnsi="Arial"/>
                <w:sz w:val="24"/>
              </w:rPr>
              <w:t>Ó</w:t>
            </w:r>
            <w:r>
              <w:rPr>
                <w:rFonts w:ascii="Arial" w:hAnsi="Arial"/>
                <w:sz w:val="24"/>
              </w:rPr>
              <w:t>N</w:t>
            </w:r>
          </w:p>
        </w:tc>
        <w:tc>
          <w:tcPr>
            <w:tcW w:w="7094" w:type="dxa"/>
            <w:gridSpan w:val="2"/>
            <w:tcMar/>
          </w:tcPr>
          <w:p w:rsidRPr="00FB4615" w:rsidR="00FB4615" w:rsidP="16067F8A" w:rsidRDefault="4144AB3A" w14:paraId="4C734E42" w14:textId="3CE130D6">
            <w:pPr>
              <w:pStyle w:val="Normal"/>
              <w:rPr>
                <w:rFonts w:ascii="Arial" w:hAnsi="Arial" w:eastAsia="Arial" w:cs="Arial"/>
                <w:b w:val="0"/>
                <w:bCs w:val="0"/>
                <w:i w:val="0"/>
                <w:iCs w:val="0"/>
                <w:caps w:val="0"/>
                <w:smallCaps w:val="0"/>
                <w:noProof w:val="0"/>
                <w:color w:val="000000" w:themeColor="text1" w:themeTint="FF" w:themeShade="FF"/>
                <w:sz w:val="22"/>
                <w:szCs w:val="22"/>
                <w:lang w:val="es-ES"/>
              </w:rPr>
            </w:pPr>
            <w:r w:rsidRPr="16067F8A" w:rsidR="7E4D8577">
              <w:rPr>
                <w:rFonts w:ascii="Arial" w:hAnsi="Arial" w:eastAsia="Arial" w:cs="Arial"/>
                <w:b w:val="0"/>
                <w:bCs w:val="0"/>
                <w:i w:val="0"/>
                <w:iCs w:val="0"/>
                <w:caps w:val="0"/>
                <w:smallCaps w:val="0"/>
                <w:noProof w:val="0"/>
                <w:color w:val="000000" w:themeColor="text1" w:themeTint="FF" w:themeShade="FF"/>
                <w:sz w:val="22"/>
                <w:szCs w:val="22"/>
                <w:lang w:val="es-ES"/>
              </w:rPr>
              <w:t xml:space="preserve">Punto </w:t>
            </w:r>
            <w:r w:rsidRPr="16067F8A" w:rsidR="7E4D8577">
              <w:rPr>
                <w:rFonts w:ascii="Arial" w:hAnsi="Arial" w:eastAsia="Arial" w:cs="Arial"/>
                <w:b w:val="0"/>
                <w:bCs w:val="0"/>
                <w:i w:val="0"/>
                <w:iCs w:val="0"/>
                <w:caps w:val="0"/>
                <w:smallCaps w:val="0"/>
                <w:noProof w:val="0"/>
                <w:color w:val="000000" w:themeColor="text1" w:themeTint="FF" w:themeShade="FF"/>
                <w:sz w:val="22"/>
                <w:szCs w:val="22"/>
                <w:lang w:val="es-ES"/>
              </w:rPr>
              <w:t>nº</w:t>
            </w:r>
            <w:r w:rsidRPr="16067F8A" w:rsidR="7E4D8577">
              <w:rPr>
                <w:rFonts w:ascii="Arial" w:hAnsi="Arial" w:eastAsia="Arial" w:cs="Arial"/>
                <w:b w:val="0"/>
                <w:bCs w:val="0"/>
                <w:i w:val="0"/>
                <w:iCs w:val="0"/>
                <w:caps w:val="0"/>
                <w:smallCaps w:val="0"/>
                <w:noProof w:val="0"/>
                <w:color w:val="000000" w:themeColor="text1" w:themeTint="FF" w:themeShade="FF"/>
                <w:sz w:val="22"/>
                <w:szCs w:val="22"/>
                <w:lang w:val="es-ES"/>
              </w:rPr>
              <w:t xml:space="preserve"> 13 bases Fundación ONCE.</w:t>
            </w:r>
          </w:p>
        </w:tc>
      </w:tr>
      <w:tr w:rsidR="007B4B02" w:rsidTr="7D24C8BD" w14:paraId="3D98FBBC" w14:textId="3551432C">
        <w:tc>
          <w:tcPr>
            <w:tcW w:w="1695" w:type="dxa"/>
            <w:tcMar/>
          </w:tcPr>
          <w:p w:rsidR="007B4B02" w:rsidRDefault="007B4B02" w14:paraId="2AFFD195" w14:textId="77777777">
            <w:pPr>
              <w:rPr>
                <w:rFonts w:ascii="Arial" w:hAnsi="Arial"/>
                <w:sz w:val="24"/>
              </w:rPr>
            </w:pPr>
            <w:r>
              <w:rPr>
                <w:rFonts w:ascii="Arial" w:hAnsi="Arial"/>
                <w:sz w:val="24"/>
              </w:rPr>
              <w:t>RESOLUCI</w:t>
            </w:r>
            <w:r w:rsidR="000F57AF">
              <w:rPr>
                <w:rFonts w:ascii="Arial" w:hAnsi="Arial"/>
                <w:sz w:val="24"/>
              </w:rPr>
              <w:t>Ó</w:t>
            </w:r>
            <w:r>
              <w:rPr>
                <w:rFonts w:ascii="Arial" w:hAnsi="Arial"/>
                <w:sz w:val="24"/>
              </w:rPr>
              <w:t>N</w:t>
            </w:r>
          </w:p>
        </w:tc>
        <w:tc>
          <w:tcPr>
            <w:tcW w:w="7094" w:type="dxa"/>
            <w:gridSpan w:val="2"/>
            <w:tcMar/>
          </w:tcPr>
          <w:p w:rsidRPr="00FB4615" w:rsidR="007B4B02" w:rsidP="16067F8A" w:rsidRDefault="00CF67E2" w14:paraId="331812E0" w14:textId="0946375E">
            <w:pPr>
              <w:pStyle w:val="Normal"/>
              <w:ind w:left="-6" w:hanging="0"/>
              <w:jc w:val="both"/>
              <w:rPr>
                <w:rFonts w:ascii="Arial" w:hAnsi="Arial" w:eastAsia="Arial" w:cs="Arial"/>
                <w:b w:val="0"/>
                <w:bCs w:val="0"/>
                <w:i w:val="0"/>
                <w:iCs w:val="0"/>
                <w:caps w:val="0"/>
                <w:smallCaps w:val="0"/>
                <w:noProof w:val="0"/>
                <w:color w:val="424242" w:themeColor="text1" w:themeTint="FF" w:themeShade="FF"/>
                <w:sz w:val="22"/>
                <w:szCs w:val="22"/>
                <w:lang w:val="es-ES"/>
              </w:rPr>
            </w:pPr>
            <w:r w:rsidRPr="16067F8A" w:rsidR="1CE91B6B">
              <w:rPr>
                <w:rFonts w:ascii="Arial" w:hAnsi="Arial" w:eastAsia="Arial" w:cs="Arial"/>
                <w:b w:val="0"/>
                <w:bCs w:val="0"/>
                <w:i w:val="0"/>
                <w:iCs w:val="0"/>
                <w:caps w:val="0"/>
                <w:smallCaps w:val="0"/>
                <w:noProof w:val="0"/>
                <w:color w:val="424242"/>
                <w:sz w:val="22"/>
                <w:szCs w:val="22"/>
                <w:lang w:val="es-ES"/>
              </w:rPr>
              <w:t xml:space="preserve">Punto </w:t>
            </w:r>
            <w:r w:rsidRPr="16067F8A" w:rsidR="1CE91B6B">
              <w:rPr>
                <w:rFonts w:ascii="Arial" w:hAnsi="Arial" w:eastAsia="Arial" w:cs="Arial"/>
                <w:b w:val="0"/>
                <w:bCs w:val="0"/>
                <w:i w:val="0"/>
                <w:iCs w:val="0"/>
                <w:caps w:val="0"/>
                <w:smallCaps w:val="0"/>
                <w:noProof w:val="0"/>
                <w:color w:val="424242"/>
                <w:sz w:val="22"/>
                <w:szCs w:val="22"/>
                <w:lang w:val="es-ES"/>
              </w:rPr>
              <w:t>nº</w:t>
            </w:r>
            <w:r w:rsidRPr="16067F8A" w:rsidR="1CE91B6B">
              <w:rPr>
                <w:rFonts w:ascii="Arial" w:hAnsi="Arial" w:eastAsia="Arial" w:cs="Arial"/>
                <w:b w:val="0"/>
                <w:bCs w:val="0"/>
                <w:i w:val="0"/>
                <w:iCs w:val="0"/>
                <w:caps w:val="0"/>
                <w:smallCaps w:val="0"/>
                <w:noProof w:val="0"/>
                <w:color w:val="424242"/>
                <w:sz w:val="22"/>
                <w:szCs w:val="22"/>
                <w:lang w:val="es-ES"/>
              </w:rPr>
              <w:t xml:space="preserve"> 17 bases Fundación ONCE.</w:t>
            </w:r>
          </w:p>
        </w:tc>
      </w:tr>
      <w:tr w:rsidR="007B4B02" w:rsidTr="7D24C8BD" w14:paraId="59013F50" w14:textId="797D8D2A">
        <w:tc>
          <w:tcPr>
            <w:tcW w:w="1695" w:type="dxa"/>
            <w:tcMar/>
          </w:tcPr>
          <w:p w:rsidR="007B4B02" w:rsidRDefault="007B4B02" w14:paraId="30FE2567" w14:textId="77777777">
            <w:pPr>
              <w:rPr>
                <w:rFonts w:ascii="Arial" w:hAnsi="Arial"/>
                <w:sz w:val="24"/>
              </w:rPr>
            </w:pPr>
            <w:r>
              <w:rPr>
                <w:rFonts w:ascii="Arial" w:hAnsi="Arial"/>
                <w:sz w:val="24"/>
              </w:rPr>
              <w:t>PAGO</w:t>
            </w:r>
          </w:p>
        </w:tc>
        <w:tc>
          <w:tcPr>
            <w:tcW w:w="7094" w:type="dxa"/>
            <w:gridSpan w:val="2"/>
            <w:tcMar/>
          </w:tcPr>
          <w:p w:rsidR="3343F707" w:rsidP="16067F8A" w:rsidRDefault="3343F707" w14:paraId="7CCCA5E2" w14:textId="2F37B7BF">
            <w:pPr>
              <w:pStyle w:val="Normal"/>
              <w:rPr>
                <w:rFonts w:ascii="Arial" w:hAnsi="Arial" w:eastAsia="Arial" w:cs="Arial"/>
                <w:b w:val="0"/>
                <w:bCs w:val="0"/>
                <w:i w:val="0"/>
                <w:iCs w:val="0"/>
                <w:caps w:val="0"/>
                <w:smallCaps w:val="0"/>
                <w:noProof w:val="0"/>
                <w:color w:val="000000" w:themeColor="text1" w:themeTint="FF" w:themeShade="FF"/>
                <w:sz w:val="22"/>
                <w:szCs w:val="22"/>
                <w:lang w:val="es-ES"/>
              </w:rPr>
            </w:pPr>
            <w:r w:rsidRPr="16067F8A" w:rsidR="78845266">
              <w:rPr>
                <w:rFonts w:ascii="Arial" w:hAnsi="Arial" w:eastAsia="Arial" w:cs="Arial"/>
                <w:b w:val="0"/>
                <w:bCs w:val="0"/>
                <w:i w:val="0"/>
                <w:iCs w:val="0"/>
                <w:caps w:val="0"/>
                <w:smallCaps w:val="0"/>
                <w:noProof w:val="0"/>
                <w:color w:val="000000" w:themeColor="text1" w:themeTint="FF" w:themeShade="FF"/>
                <w:sz w:val="22"/>
                <w:szCs w:val="22"/>
                <w:lang w:val="es-ES"/>
              </w:rPr>
              <w:t xml:space="preserve">Punto </w:t>
            </w:r>
            <w:r w:rsidRPr="16067F8A" w:rsidR="78845266">
              <w:rPr>
                <w:rFonts w:ascii="Arial" w:hAnsi="Arial" w:eastAsia="Arial" w:cs="Arial"/>
                <w:b w:val="0"/>
                <w:bCs w:val="0"/>
                <w:i w:val="0"/>
                <w:iCs w:val="0"/>
                <w:caps w:val="0"/>
                <w:smallCaps w:val="0"/>
                <w:noProof w:val="0"/>
                <w:color w:val="000000" w:themeColor="text1" w:themeTint="FF" w:themeShade="FF"/>
                <w:sz w:val="22"/>
                <w:szCs w:val="22"/>
                <w:lang w:val="es-ES"/>
              </w:rPr>
              <w:t>nº</w:t>
            </w:r>
            <w:r w:rsidRPr="16067F8A" w:rsidR="78845266">
              <w:rPr>
                <w:rFonts w:ascii="Arial" w:hAnsi="Arial" w:eastAsia="Arial" w:cs="Arial"/>
                <w:b w:val="0"/>
                <w:bCs w:val="0"/>
                <w:i w:val="0"/>
                <w:iCs w:val="0"/>
                <w:caps w:val="0"/>
                <w:smallCaps w:val="0"/>
                <w:noProof w:val="0"/>
                <w:color w:val="000000" w:themeColor="text1" w:themeTint="FF" w:themeShade="FF"/>
                <w:sz w:val="22"/>
                <w:szCs w:val="22"/>
                <w:lang w:val="es-ES"/>
              </w:rPr>
              <w:t xml:space="preserve"> 18 bases Fundación ONCE.</w:t>
            </w:r>
          </w:p>
        </w:tc>
      </w:tr>
      <w:tr w:rsidR="007B4B02" w:rsidTr="7D24C8BD" w14:paraId="049FF80F" w14:textId="00B7489B">
        <w:tc>
          <w:tcPr>
            <w:tcW w:w="1695" w:type="dxa"/>
            <w:tcMar/>
          </w:tcPr>
          <w:p w:rsidR="007B4B02" w:rsidRDefault="007B4B02" w14:paraId="1FE6D2B4" w14:textId="77777777">
            <w:pPr>
              <w:rPr>
                <w:rFonts w:ascii="Arial" w:hAnsi="Arial"/>
                <w:sz w:val="24"/>
              </w:rPr>
            </w:pPr>
            <w:r>
              <w:rPr>
                <w:rFonts w:ascii="Arial" w:hAnsi="Arial"/>
                <w:sz w:val="24"/>
              </w:rPr>
              <w:t>EJECUCI</w:t>
            </w:r>
            <w:r w:rsidR="000F57AF">
              <w:rPr>
                <w:rFonts w:ascii="Arial" w:hAnsi="Arial"/>
                <w:sz w:val="24"/>
              </w:rPr>
              <w:t>Ó</w:t>
            </w:r>
            <w:r>
              <w:rPr>
                <w:rFonts w:ascii="Arial" w:hAnsi="Arial"/>
                <w:sz w:val="24"/>
              </w:rPr>
              <w:t>N</w:t>
            </w:r>
          </w:p>
        </w:tc>
        <w:tc>
          <w:tcPr>
            <w:tcW w:w="7094" w:type="dxa"/>
            <w:gridSpan w:val="2"/>
            <w:tcMar/>
          </w:tcPr>
          <w:p w:rsidR="3343F707" w:rsidP="3343F707" w:rsidRDefault="3343F707" w14:paraId="6974A4FC" w14:textId="4C57CC80">
            <w:pPr>
              <w:pStyle w:val="Normal"/>
              <w:ind w:left="-6" w:hanging="0"/>
              <w:jc w:val="both"/>
            </w:pPr>
            <w:r w:rsidRPr="7D24C8BD" w:rsidR="488530FB">
              <w:rPr>
                <w:rFonts w:ascii="Arial" w:hAnsi="Arial" w:eastAsia="Arial" w:cs="Arial"/>
                <w:noProof w:val="0"/>
                <w:sz w:val="22"/>
                <w:szCs w:val="22"/>
                <w:lang w:val="es-ES"/>
              </w:rPr>
              <w:t>El Período de Ejecución de las operaciones seleccionadas en esta convocatoria se extiende desde el 2 de enero de 2025 hasta el 30 de septiembre de 2025.</w:t>
            </w:r>
          </w:p>
        </w:tc>
      </w:tr>
      <w:tr w:rsidR="007B4B02" w:rsidTr="7D24C8BD" w14:paraId="0D3E5302" w14:textId="34A40C8A">
        <w:tc>
          <w:tcPr>
            <w:tcW w:w="1695" w:type="dxa"/>
            <w:tcMar/>
          </w:tcPr>
          <w:p w:rsidR="007B4B02" w:rsidRDefault="007B4B02" w14:paraId="07FC083B" w14:textId="77777777">
            <w:pPr>
              <w:rPr>
                <w:rFonts w:ascii="Arial" w:hAnsi="Arial"/>
                <w:sz w:val="24"/>
              </w:rPr>
            </w:pPr>
            <w:r>
              <w:rPr>
                <w:rFonts w:ascii="Arial" w:hAnsi="Arial"/>
                <w:sz w:val="24"/>
              </w:rPr>
              <w:t>FECHA</w:t>
            </w:r>
          </w:p>
          <w:p w:rsidR="007B4B02" w:rsidRDefault="007B4B02" w14:paraId="6AD47C6C" w14:textId="77777777">
            <w:pPr>
              <w:rPr>
                <w:rFonts w:ascii="Arial" w:hAnsi="Arial"/>
                <w:sz w:val="24"/>
              </w:rPr>
            </w:pPr>
            <w:r>
              <w:rPr>
                <w:rFonts w:ascii="Arial" w:hAnsi="Arial"/>
                <w:sz w:val="24"/>
              </w:rPr>
              <w:t>JUSTIFICAR</w:t>
            </w:r>
          </w:p>
        </w:tc>
        <w:tc>
          <w:tcPr>
            <w:tcW w:w="7094" w:type="dxa"/>
            <w:gridSpan w:val="2"/>
            <w:tcMar/>
          </w:tcPr>
          <w:p w:rsidR="3343F707" w:rsidP="3343F707" w:rsidRDefault="3343F707" w14:paraId="7DE7E7EE" w14:textId="71706482">
            <w:pPr>
              <w:pStyle w:val="Normal"/>
            </w:pPr>
            <w:r w:rsidRPr="16067F8A" w:rsidR="4E966824">
              <w:rPr>
                <w:rFonts w:ascii="Arial" w:hAnsi="Arial" w:eastAsia="Arial" w:cs="Arial"/>
                <w:noProof w:val="0"/>
                <w:sz w:val="22"/>
                <w:szCs w:val="22"/>
                <w:lang w:val="es-ES"/>
              </w:rPr>
              <w:t>La fecha límite de subvencionabilidad del gasto correspondiente a las operaciones seleccionadas en la presente convocatoria será el 30 de septiembre de 2025 y la entrega de la justificación no podrá ser más allá del 31 de octubre de 2025 Por lo tanto, el gasto derivado de la ejecución de las operaciones seleccionadas en virtud de la presente convocatoria será considerará gasto elegible, si el beneficiario ha incurrido en él y lo ha abonado no más tarde del día 30 de septiembre de 2025.</w:t>
            </w:r>
          </w:p>
        </w:tc>
      </w:tr>
      <w:tr w:rsidR="3343F707" w:rsidTr="7D24C8BD" w14:paraId="54882D75">
        <w:trPr>
          <w:trHeight w:val="300"/>
        </w:trPr>
        <w:tc>
          <w:tcPr>
            <w:tcW w:w="1695" w:type="dxa"/>
            <w:tcMar/>
          </w:tcPr>
          <w:p w:rsidR="3343F707" w:rsidP="3343F707" w:rsidRDefault="3343F707" w14:paraId="11014A3A" w14:textId="5236422F">
            <w:pPr>
              <w:pStyle w:val="Normal"/>
              <w:rPr>
                <w:rFonts w:ascii="Arial" w:hAnsi="Arial"/>
                <w:sz w:val="24"/>
                <w:szCs w:val="24"/>
              </w:rPr>
            </w:pPr>
          </w:p>
        </w:tc>
        <w:tc>
          <w:tcPr>
            <w:tcW w:w="7094" w:type="dxa"/>
            <w:gridSpan w:val="2"/>
            <w:tcMar/>
          </w:tcPr>
          <w:p w:rsidR="65AD6727" w:rsidP="16067F8A" w:rsidRDefault="65AD6727" w14:paraId="2B93FA12" w14:textId="25A27825">
            <w:pPr>
              <w:pStyle w:val="Normal"/>
              <w:jc w:val="both"/>
              <w:rPr>
                <w:rFonts w:ascii="Arial" w:hAnsi="Arial" w:eastAsia="Arial" w:cs="Arial"/>
                <w:b w:val="0"/>
                <w:bCs w:val="0"/>
                <w:i w:val="0"/>
                <w:iCs w:val="0"/>
                <w:caps w:val="0"/>
                <w:smallCaps w:val="0"/>
                <w:noProof w:val="0"/>
                <w:color w:val="424242"/>
                <w:sz w:val="22"/>
                <w:szCs w:val="22"/>
                <w:lang w:val="es-ES"/>
              </w:rPr>
            </w:pPr>
          </w:p>
        </w:tc>
      </w:tr>
    </w:tbl>
    <w:p w:rsidR="007B4B02" w:rsidRDefault="007B4B02" w14:paraId="2B032BD9" w14:textId="77777777">
      <w:pPr>
        <w:pStyle w:val="Epgrafe"/>
      </w:pPr>
    </w:p>
    <w:sectPr w:rsidR="007B4B02">
      <w:footerReference w:type="even" r:id="rId11"/>
      <w:footerReference w:type="default" r:id="rId12"/>
      <w:pgSz w:w="11907" w:h="16840" w:orient="portrait" w:code="9"/>
      <w:pgMar w:top="1701"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1F25" w:rsidRDefault="003A1F25" w14:paraId="7C2E29BA" w14:textId="77777777">
      <w:r>
        <w:separator/>
      </w:r>
    </w:p>
  </w:endnote>
  <w:endnote w:type="continuationSeparator" w:id="0">
    <w:p w:rsidR="003A1F25" w:rsidRDefault="003A1F25" w14:paraId="33CF06A1" w14:textId="77777777">
      <w:r>
        <w:continuationSeparator/>
      </w:r>
    </w:p>
  </w:endnote>
  <w:endnote w:type="continuationNotice" w:id="1">
    <w:p w:rsidR="003A1F25" w:rsidRDefault="003A1F25" w14:paraId="71286C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4B02" w:rsidRDefault="007B4B02" w14:paraId="33B5FF8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4B02" w:rsidRDefault="007B4B02" w14:paraId="68195DE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4B02" w:rsidRDefault="007B4B02" w14:paraId="7E21650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DD0">
      <w:rPr>
        <w:rStyle w:val="PageNumber"/>
        <w:noProof/>
      </w:rPr>
      <w:t>1</w:t>
    </w:r>
    <w:r>
      <w:rPr>
        <w:rStyle w:val="PageNumber"/>
      </w:rPr>
      <w:fldChar w:fldCharType="end"/>
    </w:r>
  </w:p>
  <w:p w:rsidR="007B4B02" w:rsidRDefault="007B4B02" w14:paraId="622DA45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1F25" w:rsidRDefault="003A1F25" w14:paraId="1422CAA2" w14:textId="77777777">
      <w:r>
        <w:separator/>
      </w:r>
    </w:p>
  </w:footnote>
  <w:footnote w:type="continuationSeparator" w:id="0">
    <w:p w:rsidR="003A1F25" w:rsidRDefault="003A1F25" w14:paraId="2ADCFFC1" w14:textId="77777777">
      <w:r>
        <w:continuationSeparator/>
      </w:r>
    </w:p>
  </w:footnote>
  <w:footnote w:type="continuationNotice" w:id="1">
    <w:p w:rsidR="003A1F25" w:rsidRDefault="003A1F25" w14:paraId="3D7A2947" w14:textId="77777777"/>
  </w:footnote>
</w:footnotes>
</file>

<file path=word/intelligence2.xml><?xml version="1.0" encoding="utf-8"?>
<int2:intelligence xmlns:int2="http://schemas.microsoft.com/office/intelligence/2020/intelligence">
  <int2:observations>
    <int2:bookmark int2:bookmarkName="_Int_LcXTKInA" int2:invalidationBookmarkName="" int2:hashCode="ZKb0j3YAXWuOuo" int2:id="psNN6ebz">
      <int2:state int2:type="AugLoop_Text_Critique" int2:value="Rejected"/>
    </int2:bookmark>
    <int2:bookmark int2:bookmarkName="_Int_ClVam059" int2:invalidationBookmarkName="" int2:hashCode="g6+4exq/AyHN5a" int2:id="wpxvqY7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6">
    <w:nsid w:val="5ff366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A9959A2"/>
    <w:multiLevelType w:val="hybridMultilevel"/>
    <w:tmpl w:val="375E64FC"/>
    <w:lvl w:ilvl="0" w:tplc="7B32BEB8">
      <w:numFmt w:val="bullet"/>
      <w:lvlText w:val="-"/>
      <w:lvlJc w:val="left"/>
      <w:pPr>
        <w:tabs>
          <w:tab w:val="num" w:pos="720"/>
        </w:tabs>
        <w:ind w:left="720" w:hanging="360"/>
      </w:pPr>
      <w:rPr>
        <w:rFonts w:hint="default" w:ascii="Times New Roman" w:hAnsi="Times New Roman" w:eastAsia="Times New Roman" w:cs="Times New Roman"/>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D57310B"/>
    <w:multiLevelType w:val="multilevel"/>
    <w:tmpl w:val="6BCA9BD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38735DCE"/>
    <w:multiLevelType w:val="multilevel"/>
    <w:tmpl w:val="DED4E74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62D1322A"/>
    <w:multiLevelType w:val="singleLevel"/>
    <w:tmpl w:val="0C0A0007"/>
    <w:lvl w:ilvl="0">
      <w:start w:val="1"/>
      <w:numFmt w:val="bullet"/>
      <w:lvlText w:val=""/>
      <w:lvlJc w:val="left"/>
      <w:pPr>
        <w:tabs>
          <w:tab w:val="num" w:pos="360"/>
        </w:tabs>
        <w:ind w:left="360" w:hanging="360"/>
      </w:pPr>
      <w:rPr>
        <w:rFonts w:hint="default" w:ascii="Wingdings" w:hAnsi="Wingdings"/>
        <w:sz w:val="16"/>
      </w:rPr>
    </w:lvl>
  </w:abstractNum>
  <w:abstractNum w:abstractNumId="4" w15:restartNumberingAfterBreak="0">
    <w:nsid w:val="6B586477"/>
    <w:multiLevelType w:val="multilevel"/>
    <w:tmpl w:val="C63A2C2A"/>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72BA07C0"/>
    <w:multiLevelType w:val="singleLevel"/>
    <w:tmpl w:val="0C0A0007"/>
    <w:lvl w:ilvl="0">
      <w:start w:val="1"/>
      <w:numFmt w:val="bullet"/>
      <w:lvlText w:val=""/>
      <w:lvlJc w:val="left"/>
      <w:pPr>
        <w:tabs>
          <w:tab w:val="num" w:pos="360"/>
        </w:tabs>
        <w:ind w:left="360" w:hanging="360"/>
      </w:pPr>
      <w:rPr>
        <w:rFonts w:hint="default" w:ascii="Wingdings" w:hAnsi="Wingdings"/>
        <w:sz w:val="16"/>
      </w:rPr>
    </w:lvl>
  </w:abstractNum>
  <w:num w:numId="8">
    <w:abstractNumId w:val="6"/>
  </w:num>
  <w:num w:numId="1" w16cid:durableId="394284741">
    <w:abstractNumId w:val="5"/>
  </w:num>
  <w:num w:numId="2" w16cid:durableId="646206346">
    <w:abstractNumId w:val="3"/>
  </w:num>
  <w:num w:numId="3" w16cid:durableId="718868446">
    <w:abstractNumId w:val="0"/>
  </w:num>
  <w:num w:numId="4" w16cid:durableId="1980333247">
    <w:abstractNumId w:val="1"/>
  </w:num>
  <w:num w:numId="5" w16cid:durableId="2131196867">
    <w:abstractNumId w:val="4"/>
  </w:num>
  <w:num w:numId="6" w16cid:durableId="1114711720">
    <w:abstractNumId w:val="4"/>
    <w:lvlOverride w:ilvl="1">
      <w:lvl w:ilvl="1">
        <w:numFmt w:val="bullet"/>
        <w:lvlText w:val=""/>
        <w:lvlJc w:val="left"/>
        <w:pPr>
          <w:tabs>
            <w:tab w:val="num" w:pos="1440"/>
          </w:tabs>
          <w:ind w:left="1440" w:hanging="360"/>
        </w:pPr>
        <w:rPr>
          <w:rFonts w:hint="default" w:ascii="Wingdings" w:hAnsi="Wingdings"/>
          <w:sz w:val="20"/>
        </w:rPr>
      </w:lvl>
    </w:lvlOverride>
  </w:num>
  <w:num w:numId="7" w16cid:durableId="75058486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2C"/>
    <w:rsid w:val="000017F2"/>
    <w:rsid w:val="00052D03"/>
    <w:rsid w:val="00092262"/>
    <w:rsid w:val="000964DF"/>
    <w:rsid w:val="000A4D6E"/>
    <w:rsid w:val="000F08A9"/>
    <w:rsid w:val="000F57AF"/>
    <w:rsid w:val="00141E6F"/>
    <w:rsid w:val="00150DCF"/>
    <w:rsid w:val="00164741"/>
    <w:rsid w:val="001677AD"/>
    <w:rsid w:val="00184C7D"/>
    <w:rsid w:val="001A56EC"/>
    <w:rsid w:val="001A731A"/>
    <w:rsid w:val="00237BD7"/>
    <w:rsid w:val="00251D21"/>
    <w:rsid w:val="00256977"/>
    <w:rsid w:val="002C2233"/>
    <w:rsid w:val="002D632E"/>
    <w:rsid w:val="002E7A7D"/>
    <w:rsid w:val="00367D51"/>
    <w:rsid w:val="0038789E"/>
    <w:rsid w:val="003A1F25"/>
    <w:rsid w:val="003A3330"/>
    <w:rsid w:val="003B338B"/>
    <w:rsid w:val="003C4AF7"/>
    <w:rsid w:val="003D55A7"/>
    <w:rsid w:val="003D5C2E"/>
    <w:rsid w:val="003E16B3"/>
    <w:rsid w:val="003E7460"/>
    <w:rsid w:val="00402663"/>
    <w:rsid w:val="00427B62"/>
    <w:rsid w:val="00444551"/>
    <w:rsid w:val="00465019"/>
    <w:rsid w:val="00466353"/>
    <w:rsid w:val="0049556E"/>
    <w:rsid w:val="00495FFE"/>
    <w:rsid w:val="00496AD9"/>
    <w:rsid w:val="004B770F"/>
    <w:rsid w:val="004D17BE"/>
    <w:rsid w:val="004E2BF7"/>
    <w:rsid w:val="00500698"/>
    <w:rsid w:val="00507A99"/>
    <w:rsid w:val="005626ED"/>
    <w:rsid w:val="005C4FB0"/>
    <w:rsid w:val="005D3D39"/>
    <w:rsid w:val="005E2A7D"/>
    <w:rsid w:val="005F4DD8"/>
    <w:rsid w:val="00671A8E"/>
    <w:rsid w:val="0067711D"/>
    <w:rsid w:val="00690C78"/>
    <w:rsid w:val="006A0DCB"/>
    <w:rsid w:val="006B23A5"/>
    <w:rsid w:val="006B3AE1"/>
    <w:rsid w:val="006C121D"/>
    <w:rsid w:val="006C4636"/>
    <w:rsid w:val="006D330F"/>
    <w:rsid w:val="0070780A"/>
    <w:rsid w:val="00711042"/>
    <w:rsid w:val="007229E9"/>
    <w:rsid w:val="007451D5"/>
    <w:rsid w:val="00775525"/>
    <w:rsid w:val="00785069"/>
    <w:rsid w:val="007A41A7"/>
    <w:rsid w:val="007B2C5D"/>
    <w:rsid w:val="007B4B02"/>
    <w:rsid w:val="007B6B17"/>
    <w:rsid w:val="00804A53"/>
    <w:rsid w:val="00842C99"/>
    <w:rsid w:val="008765A5"/>
    <w:rsid w:val="008933EF"/>
    <w:rsid w:val="008935A7"/>
    <w:rsid w:val="008B1D98"/>
    <w:rsid w:val="008B27CC"/>
    <w:rsid w:val="008D2564"/>
    <w:rsid w:val="008E1944"/>
    <w:rsid w:val="008F1B81"/>
    <w:rsid w:val="008F35E9"/>
    <w:rsid w:val="009074B5"/>
    <w:rsid w:val="00916520"/>
    <w:rsid w:val="009E7EB1"/>
    <w:rsid w:val="00A3061F"/>
    <w:rsid w:val="00A33E86"/>
    <w:rsid w:val="00A3613B"/>
    <w:rsid w:val="00A3722C"/>
    <w:rsid w:val="00A41184"/>
    <w:rsid w:val="00A9445C"/>
    <w:rsid w:val="00B00ABB"/>
    <w:rsid w:val="00B01F9F"/>
    <w:rsid w:val="00B2637A"/>
    <w:rsid w:val="00B377C0"/>
    <w:rsid w:val="00B539EA"/>
    <w:rsid w:val="00B5685E"/>
    <w:rsid w:val="00BA530D"/>
    <w:rsid w:val="00BB0726"/>
    <w:rsid w:val="00BB3E53"/>
    <w:rsid w:val="00C12E49"/>
    <w:rsid w:val="00C2492F"/>
    <w:rsid w:val="00C42D3A"/>
    <w:rsid w:val="00C71080"/>
    <w:rsid w:val="00C93E04"/>
    <w:rsid w:val="00CB1686"/>
    <w:rsid w:val="00CB1A80"/>
    <w:rsid w:val="00CB2C10"/>
    <w:rsid w:val="00CC2915"/>
    <w:rsid w:val="00CF67E2"/>
    <w:rsid w:val="00D15FAD"/>
    <w:rsid w:val="00D36D2B"/>
    <w:rsid w:val="00D651BF"/>
    <w:rsid w:val="00DA6B3F"/>
    <w:rsid w:val="00DC1247"/>
    <w:rsid w:val="00E26FA9"/>
    <w:rsid w:val="00E321DD"/>
    <w:rsid w:val="00E55DD0"/>
    <w:rsid w:val="00E8565E"/>
    <w:rsid w:val="00E95EF8"/>
    <w:rsid w:val="00EC4B4C"/>
    <w:rsid w:val="00EC5029"/>
    <w:rsid w:val="00EF3EF5"/>
    <w:rsid w:val="00F12942"/>
    <w:rsid w:val="00F43D94"/>
    <w:rsid w:val="00F54E63"/>
    <w:rsid w:val="00F71616"/>
    <w:rsid w:val="00FA3CCD"/>
    <w:rsid w:val="00FB4615"/>
    <w:rsid w:val="00FD1647"/>
    <w:rsid w:val="0136C134"/>
    <w:rsid w:val="01B045ED"/>
    <w:rsid w:val="01D1C995"/>
    <w:rsid w:val="026858E1"/>
    <w:rsid w:val="029F80ED"/>
    <w:rsid w:val="02AC30AF"/>
    <w:rsid w:val="02B5F0EB"/>
    <w:rsid w:val="0317E90E"/>
    <w:rsid w:val="050D554E"/>
    <w:rsid w:val="05E036B4"/>
    <w:rsid w:val="061DDD5F"/>
    <w:rsid w:val="069AC941"/>
    <w:rsid w:val="06BF37CA"/>
    <w:rsid w:val="0732EEB8"/>
    <w:rsid w:val="0737FAED"/>
    <w:rsid w:val="0745D652"/>
    <w:rsid w:val="077B50F2"/>
    <w:rsid w:val="07E6F4F8"/>
    <w:rsid w:val="09E78C24"/>
    <w:rsid w:val="09EB0E77"/>
    <w:rsid w:val="09FEF0E2"/>
    <w:rsid w:val="0A263DCE"/>
    <w:rsid w:val="0A5F6DE3"/>
    <w:rsid w:val="0A6AEDF6"/>
    <w:rsid w:val="0AA13F08"/>
    <w:rsid w:val="0B2CF487"/>
    <w:rsid w:val="0B68053E"/>
    <w:rsid w:val="0B92B728"/>
    <w:rsid w:val="0BEE3CF1"/>
    <w:rsid w:val="0C3F7F71"/>
    <w:rsid w:val="0D547AC7"/>
    <w:rsid w:val="0D547AC7"/>
    <w:rsid w:val="0D6F1D5E"/>
    <w:rsid w:val="0DEFCA14"/>
    <w:rsid w:val="0E013B3A"/>
    <w:rsid w:val="0E6EBE79"/>
    <w:rsid w:val="0E837342"/>
    <w:rsid w:val="0E86739A"/>
    <w:rsid w:val="0EC6507C"/>
    <w:rsid w:val="0F9AB861"/>
    <w:rsid w:val="101E0F80"/>
    <w:rsid w:val="109279E5"/>
    <w:rsid w:val="10935A47"/>
    <w:rsid w:val="11A618BB"/>
    <w:rsid w:val="11F9CA3C"/>
    <w:rsid w:val="120FF269"/>
    <w:rsid w:val="12D01A2F"/>
    <w:rsid w:val="13760002"/>
    <w:rsid w:val="140B9021"/>
    <w:rsid w:val="1476AEE4"/>
    <w:rsid w:val="15123499"/>
    <w:rsid w:val="15EA01AD"/>
    <w:rsid w:val="16067F8A"/>
    <w:rsid w:val="168E3B67"/>
    <w:rsid w:val="17043F09"/>
    <w:rsid w:val="1745DE6C"/>
    <w:rsid w:val="18024B81"/>
    <w:rsid w:val="181A6A93"/>
    <w:rsid w:val="181ABFCD"/>
    <w:rsid w:val="1836E117"/>
    <w:rsid w:val="184BE00F"/>
    <w:rsid w:val="184E278E"/>
    <w:rsid w:val="18612942"/>
    <w:rsid w:val="197CF71C"/>
    <w:rsid w:val="197EA871"/>
    <w:rsid w:val="19A00A25"/>
    <w:rsid w:val="1A2D02FB"/>
    <w:rsid w:val="1C6098C5"/>
    <w:rsid w:val="1CE91B6B"/>
    <w:rsid w:val="1CFA7BFA"/>
    <w:rsid w:val="1E53DD29"/>
    <w:rsid w:val="20A903F4"/>
    <w:rsid w:val="20D70C11"/>
    <w:rsid w:val="20E05DB2"/>
    <w:rsid w:val="21182CC3"/>
    <w:rsid w:val="226F2D41"/>
    <w:rsid w:val="22C8A966"/>
    <w:rsid w:val="22EAA193"/>
    <w:rsid w:val="2314B24B"/>
    <w:rsid w:val="23C2F19C"/>
    <w:rsid w:val="23D84D00"/>
    <w:rsid w:val="24550144"/>
    <w:rsid w:val="24D5DE4D"/>
    <w:rsid w:val="2548416B"/>
    <w:rsid w:val="259EB950"/>
    <w:rsid w:val="261142C6"/>
    <w:rsid w:val="27812C6C"/>
    <w:rsid w:val="283EAB09"/>
    <w:rsid w:val="2877C757"/>
    <w:rsid w:val="288B3418"/>
    <w:rsid w:val="2908C3E0"/>
    <w:rsid w:val="2A03EE8B"/>
    <w:rsid w:val="2A3633B2"/>
    <w:rsid w:val="2A97CA91"/>
    <w:rsid w:val="2B03518B"/>
    <w:rsid w:val="2BDE7AB6"/>
    <w:rsid w:val="2E7F3DFE"/>
    <w:rsid w:val="2ED54C75"/>
    <w:rsid w:val="2ED7AA7E"/>
    <w:rsid w:val="2FD0CE92"/>
    <w:rsid w:val="302FC106"/>
    <w:rsid w:val="307CB917"/>
    <w:rsid w:val="31172291"/>
    <w:rsid w:val="31225228"/>
    <w:rsid w:val="31768FB9"/>
    <w:rsid w:val="31808BA0"/>
    <w:rsid w:val="31F044CE"/>
    <w:rsid w:val="31FB512A"/>
    <w:rsid w:val="330F4AA8"/>
    <w:rsid w:val="3330297C"/>
    <w:rsid w:val="333EA4DF"/>
    <w:rsid w:val="3343F707"/>
    <w:rsid w:val="33C108B0"/>
    <w:rsid w:val="34031A64"/>
    <w:rsid w:val="34901CE6"/>
    <w:rsid w:val="34A1F3B8"/>
    <w:rsid w:val="34FF7246"/>
    <w:rsid w:val="35D633BA"/>
    <w:rsid w:val="35E79EFA"/>
    <w:rsid w:val="35FF4B79"/>
    <w:rsid w:val="36DD86F6"/>
    <w:rsid w:val="380286F5"/>
    <w:rsid w:val="380DBA77"/>
    <w:rsid w:val="381A62BB"/>
    <w:rsid w:val="38DD4201"/>
    <w:rsid w:val="3A508976"/>
    <w:rsid w:val="3B4512DF"/>
    <w:rsid w:val="3B4C3A5E"/>
    <w:rsid w:val="3D17D831"/>
    <w:rsid w:val="3D1B963A"/>
    <w:rsid w:val="3D883F1D"/>
    <w:rsid w:val="3FB67197"/>
    <w:rsid w:val="401D8C9D"/>
    <w:rsid w:val="4111BBCD"/>
    <w:rsid w:val="4144AB3A"/>
    <w:rsid w:val="423A164D"/>
    <w:rsid w:val="424D8133"/>
    <w:rsid w:val="437F19E9"/>
    <w:rsid w:val="43A31406"/>
    <w:rsid w:val="44C0F51B"/>
    <w:rsid w:val="44C5C60A"/>
    <w:rsid w:val="44E858C7"/>
    <w:rsid w:val="4500F565"/>
    <w:rsid w:val="45F45299"/>
    <w:rsid w:val="47483460"/>
    <w:rsid w:val="4832E00D"/>
    <w:rsid w:val="4863FFF1"/>
    <w:rsid w:val="488530FB"/>
    <w:rsid w:val="48CF8B04"/>
    <w:rsid w:val="48F3505D"/>
    <w:rsid w:val="494B0298"/>
    <w:rsid w:val="49FCBE9C"/>
    <w:rsid w:val="4AA092BA"/>
    <w:rsid w:val="4AECF84A"/>
    <w:rsid w:val="4AFFCEB0"/>
    <w:rsid w:val="4BC2C87A"/>
    <w:rsid w:val="4CA6F405"/>
    <w:rsid w:val="4D8806B7"/>
    <w:rsid w:val="4DAB3CD7"/>
    <w:rsid w:val="4E1D1B2F"/>
    <w:rsid w:val="4E966824"/>
    <w:rsid w:val="4EACD3FE"/>
    <w:rsid w:val="4FFD8C88"/>
    <w:rsid w:val="505ACAAF"/>
    <w:rsid w:val="506AD3FA"/>
    <w:rsid w:val="50E005B3"/>
    <w:rsid w:val="519A0EC9"/>
    <w:rsid w:val="51F1674C"/>
    <w:rsid w:val="51FE61E6"/>
    <w:rsid w:val="53D90546"/>
    <w:rsid w:val="5538BB56"/>
    <w:rsid w:val="5580DD4A"/>
    <w:rsid w:val="55E4A017"/>
    <w:rsid w:val="561D8EBC"/>
    <w:rsid w:val="5747BC4B"/>
    <w:rsid w:val="575EF722"/>
    <w:rsid w:val="578A45C4"/>
    <w:rsid w:val="58BEF2C5"/>
    <w:rsid w:val="59D8AFEB"/>
    <w:rsid w:val="5A9E6282"/>
    <w:rsid w:val="5C19CC21"/>
    <w:rsid w:val="5C582847"/>
    <w:rsid w:val="5D7455F0"/>
    <w:rsid w:val="5E214EB9"/>
    <w:rsid w:val="5E25ED6D"/>
    <w:rsid w:val="5FC57A39"/>
    <w:rsid w:val="604EF624"/>
    <w:rsid w:val="606C4079"/>
    <w:rsid w:val="6094B169"/>
    <w:rsid w:val="61A8917B"/>
    <w:rsid w:val="620DFEFE"/>
    <w:rsid w:val="6280DC05"/>
    <w:rsid w:val="628F2DD3"/>
    <w:rsid w:val="629F15D8"/>
    <w:rsid w:val="62E5F33C"/>
    <w:rsid w:val="64121DC0"/>
    <w:rsid w:val="644BC424"/>
    <w:rsid w:val="646CBB88"/>
    <w:rsid w:val="65AD6727"/>
    <w:rsid w:val="66047365"/>
    <w:rsid w:val="662BB57F"/>
    <w:rsid w:val="684FBDAC"/>
    <w:rsid w:val="694BD920"/>
    <w:rsid w:val="696ADFA9"/>
    <w:rsid w:val="697AB179"/>
    <w:rsid w:val="6A751ECB"/>
    <w:rsid w:val="6AD0A744"/>
    <w:rsid w:val="6BDF1635"/>
    <w:rsid w:val="6CA4C484"/>
    <w:rsid w:val="6D6E60F0"/>
    <w:rsid w:val="6E41A1FF"/>
    <w:rsid w:val="6E5173A8"/>
    <w:rsid w:val="6E939F33"/>
    <w:rsid w:val="6F776433"/>
    <w:rsid w:val="6FF59069"/>
    <w:rsid w:val="6FFE74FE"/>
    <w:rsid w:val="71C8C9A6"/>
    <w:rsid w:val="73512B62"/>
    <w:rsid w:val="737E7563"/>
    <w:rsid w:val="746C5C63"/>
    <w:rsid w:val="7575F1FC"/>
    <w:rsid w:val="758DF8B5"/>
    <w:rsid w:val="760A24CB"/>
    <w:rsid w:val="768988D1"/>
    <w:rsid w:val="76D7F593"/>
    <w:rsid w:val="775EE412"/>
    <w:rsid w:val="776F6FA5"/>
    <w:rsid w:val="77A8D137"/>
    <w:rsid w:val="77BE3247"/>
    <w:rsid w:val="78845266"/>
    <w:rsid w:val="79233625"/>
    <w:rsid w:val="79E77D4B"/>
    <w:rsid w:val="7B1A77B2"/>
    <w:rsid w:val="7B6F7ECE"/>
    <w:rsid w:val="7BA726C4"/>
    <w:rsid w:val="7BA74B8C"/>
    <w:rsid w:val="7D24C8BD"/>
    <w:rsid w:val="7D46F032"/>
    <w:rsid w:val="7DE38038"/>
    <w:rsid w:val="7DFCFE24"/>
    <w:rsid w:val="7E4D8577"/>
    <w:rsid w:val="7F29C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954D"/>
  <w15:chartTrackingRefBased/>
  <w15:docId w15:val="{6C6BF3A8-C8B9-47B4-A8FA-9716426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right"/>
      <w:outlineLvl w:val="1"/>
    </w:pPr>
    <w:rPr>
      <w:rFonts w:ascii="Arial" w:hAnsi="Arial"/>
      <w:sz w:val="24"/>
    </w:rPr>
  </w:style>
  <w:style w:type="paragraph" w:styleId="Heading3">
    <w:name w:val="heading 3"/>
    <w:basedOn w:val="Normal"/>
    <w:next w:val="Normal"/>
    <w:qFormat/>
    <w:pPr>
      <w:keepNext/>
      <w:outlineLvl w:val="2"/>
    </w:pPr>
    <w:rPr>
      <w:rFonts w:ascii="Arial" w:hAnsi="Arial"/>
      <w:b/>
      <w:sz w:val="36"/>
    </w:rPr>
  </w:style>
  <w:style w:type="paragraph" w:styleId="Heading4">
    <w:name w:val="heading 4"/>
    <w:basedOn w:val="Normal"/>
    <w:next w:val="Normal"/>
    <w:qFormat/>
    <w:pPr>
      <w:keepNext/>
      <w:outlineLvl w:val="3"/>
    </w:pPr>
    <w:rPr>
      <w:rFonts w:ascii="Arial" w:hAnsi="Arial"/>
      <w:sz w:val="32"/>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outlineLvl w:val="6"/>
    </w:pPr>
    <w:rPr>
      <w:rFonts w:ascii="Arial" w:hAnsi="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b/>
      <w:sz w:val="24"/>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semiHidden/>
    <w:rPr>
      <w:rFonts w:ascii="Arial" w:hAnsi="Arial"/>
      <w:sz w:val="24"/>
    </w:rPr>
  </w:style>
  <w:style w:type="paragraph" w:styleId="Epgrafe" w:customStyle="1">
    <w:name w:val="Epígrafe"/>
    <w:basedOn w:val="Normal"/>
    <w:next w:val="Normal"/>
    <w:qFormat/>
    <w:rPr>
      <w:rFonts w:ascii="Arial" w:hAnsi="Arial"/>
      <w:b/>
      <w:sz w:val="24"/>
    </w:rPr>
  </w:style>
  <w:style w:type="paragraph" w:styleId="BodyText3">
    <w:name w:val="Body Text 3"/>
    <w:basedOn w:val="Normal"/>
    <w:semiHidden/>
    <w:rPr>
      <w:rFonts w:ascii="Arial" w:hAnsi="Arial"/>
      <w:b/>
      <w:sz w:val="22"/>
    </w:rPr>
  </w:style>
  <w:style w:type="paragraph" w:styleId="Header">
    <w:name w:val="header"/>
    <w:basedOn w:val="Normal"/>
    <w:link w:val="HeaderChar"/>
    <w:uiPriority w:val="99"/>
    <w:unhideWhenUsed/>
    <w:rsid w:val="001677AD"/>
    <w:pPr>
      <w:tabs>
        <w:tab w:val="center" w:pos="4252"/>
        <w:tab w:val="right" w:pos="8504"/>
      </w:tabs>
    </w:pPr>
  </w:style>
  <w:style w:type="character" w:styleId="HeaderChar" w:customStyle="1">
    <w:name w:val="Header Char"/>
    <w:basedOn w:val="DefaultParagraphFont"/>
    <w:link w:val="Header"/>
    <w:uiPriority w:val="99"/>
    <w:rsid w:val="001677A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2975">
      <w:bodyDiv w:val="1"/>
      <w:marLeft w:val="0"/>
      <w:marRight w:val="0"/>
      <w:marTop w:val="0"/>
      <w:marBottom w:val="0"/>
      <w:divBdr>
        <w:top w:val="none" w:sz="0" w:space="0" w:color="auto"/>
        <w:left w:val="none" w:sz="0" w:space="0" w:color="auto"/>
        <w:bottom w:val="none" w:sz="0" w:space="0" w:color="auto"/>
        <w:right w:val="none" w:sz="0" w:space="0" w:color="auto"/>
      </w:divBdr>
    </w:div>
    <w:div w:id="1540236486">
      <w:bodyDiv w:val="1"/>
      <w:marLeft w:val="0"/>
      <w:marRight w:val="0"/>
      <w:marTop w:val="0"/>
      <w:marBottom w:val="0"/>
      <w:divBdr>
        <w:top w:val="none" w:sz="0" w:space="0" w:color="auto"/>
        <w:left w:val="none" w:sz="0" w:space="0" w:color="auto"/>
        <w:bottom w:val="none" w:sz="0" w:space="0" w:color="auto"/>
        <w:right w:val="none" w:sz="0" w:space="0" w:color="auto"/>
      </w:divBdr>
    </w:div>
    <w:div w:id="17754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e7540b55f36d426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27E2F22819ED40952CA707CF3C6284" ma:contentTypeVersion="6" ma:contentTypeDescription="Crear nuevo documento." ma:contentTypeScope="" ma:versionID="00de2bc8e1580e6d37ef3634c615a295">
  <xsd:schema xmlns:xsd="http://www.w3.org/2001/XMLSchema" xmlns:xs="http://www.w3.org/2001/XMLSchema" xmlns:p="http://schemas.microsoft.com/office/2006/metadata/properties" xmlns:ns2="a4438072-2998-4d7d-997c-7737fa0e6474" xmlns:ns3="37984e2b-3c63-4f1d-8e2f-b41e75711c19" targetNamespace="http://schemas.microsoft.com/office/2006/metadata/properties" ma:root="true" ma:fieldsID="0e22684b50b33a3cfdf9ee847fc9cfc7" ns2:_="" ns3:_="">
    <xsd:import namespace="a4438072-2998-4d7d-997c-7737fa0e6474"/>
    <xsd:import namespace="37984e2b-3c63-4f1d-8e2f-b41e75711c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38072-2998-4d7d-997c-7737fa0e6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84e2b-3c63-4f1d-8e2f-b41e75711c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984e2b-3c63-4f1d-8e2f-b41e75711c19">
      <UserInfo>
        <DisplayName>Keila Gálvez Sanchiz</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1A711-CD66-47A1-81F3-A2B820C9D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38072-2998-4d7d-997c-7737fa0e6474"/>
    <ds:schemaRef ds:uri="37984e2b-3c63-4f1d-8e2f-b41e75711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DBF2A-1F8B-424F-907F-D216369144DC}">
  <ds:schemaRefs>
    <ds:schemaRef ds:uri="http://schemas.microsoft.com/office/2006/metadata/properties"/>
    <ds:schemaRef ds:uri="http://schemas.microsoft.com/office/infopath/2007/PartnerControls"/>
    <ds:schemaRef ds:uri="37984e2b-3c63-4f1d-8e2f-b41e75711c19"/>
  </ds:schemaRefs>
</ds:datastoreItem>
</file>

<file path=customXml/itemProps3.xml><?xml version="1.0" encoding="utf-8"?>
<ds:datastoreItem xmlns:ds="http://schemas.openxmlformats.org/officeDocument/2006/customXml" ds:itemID="{05F456D1-10BB-4C22-87D5-A7D1EB4D37B3}">
  <ds:schemaRefs>
    <ds:schemaRef ds:uri="http://schemas.openxmlformats.org/officeDocument/2006/bibliography"/>
  </ds:schemaRefs>
</ds:datastoreItem>
</file>

<file path=customXml/itemProps4.xml><?xml version="1.0" encoding="utf-8"?>
<ds:datastoreItem xmlns:ds="http://schemas.openxmlformats.org/officeDocument/2006/customXml" ds:itemID="{08CE79FC-C9E3-4332-BBBA-8B694396C55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DOCUMENTACION Y GESTION DE RECURSOS</dc:title>
  <dc:subject/>
  <dc:creator>ELENA</dc:creator>
  <keywords/>
  <lastModifiedBy>Pepe Marín García</lastModifiedBy>
  <revision>36</revision>
  <lastPrinted>2003-04-25T04:54:00.0000000Z</lastPrinted>
  <dcterms:created xsi:type="dcterms:W3CDTF">2024-06-20T00:28:00.0000000Z</dcterms:created>
  <dcterms:modified xsi:type="dcterms:W3CDTF">2024-07-04T10:44:28.0152877Z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0x010100F727E2F22819ED40952CA707CF3C6284</vt:lpwstr>
  </property>
</Properties>
</file>