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175"/>
      </w:tblGrid>
      <w:tr w:rsidR="007B4B02" w14:paraId="596E4F12" w14:textId="43D5F7B1" w:rsidTr="00830314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175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6F5FC556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1B5015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/0</w:t>
            </w:r>
            <w:r w:rsidR="003E16B3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830314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585" w:type="dxa"/>
            <w:gridSpan w:val="2"/>
          </w:tcPr>
          <w:p w14:paraId="580DB72F" w14:textId="69007B3C" w:rsidR="007B4B02" w:rsidRDefault="007951E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 w:rsidRPr="007951E2">
              <w:rPr>
                <w:rFonts w:ascii="Arial" w:hAnsi="Arial"/>
                <w:b/>
                <w:sz w:val="28"/>
              </w:rPr>
              <w:t xml:space="preserve">onvocatoria para la concesión de subvenciones públicas destinadas a la financiación del "Programa </w:t>
            </w:r>
            <w:proofErr w:type="spellStart"/>
            <w:r w:rsidRPr="007951E2">
              <w:rPr>
                <w:rFonts w:ascii="Arial" w:hAnsi="Arial"/>
                <w:b/>
                <w:sz w:val="28"/>
              </w:rPr>
              <w:t>TándEM</w:t>
            </w:r>
            <w:proofErr w:type="spellEnd"/>
            <w:r w:rsidRPr="007951E2">
              <w:rPr>
                <w:rFonts w:ascii="Arial" w:hAnsi="Arial"/>
                <w:b/>
                <w:sz w:val="28"/>
              </w:rPr>
              <w:t>" de formación en alternancia con el empleo en el marco del Plan de Recuperación, Transformación y Resiliencia</w:t>
            </w:r>
          </w:p>
        </w:tc>
      </w:tr>
      <w:tr w:rsidR="007B4B02" w14:paraId="300C0C2D" w14:textId="574D2CEE" w:rsidTr="00830314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585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830314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585" w:type="dxa"/>
            <w:gridSpan w:val="2"/>
          </w:tcPr>
          <w:p w14:paraId="6B86CD72" w14:textId="383E94F0" w:rsidR="007B4B02" w:rsidRDefault="0042614E" w:rsidP="00251D21">
            <w:pPr>
              <w:rPr>
                <w:rFonts w:ascii="Arial" w:hAnsi="Arial"/>
                <w:sz w:val="22"/>
              </w:rPr>
            </w:pPr>
            <w:r w:rsidRPr="0042614E">
              <w:rPr>
                <w:rFonts w:ascii="Arial" w:hAnsi="Arial"/>
                <w:sz w:val="22"/>
              </w:rPr>
              <w:t xml:space="preserve">Las subvenciones que se concedan al amparo de esta convocatoria tendrán como finalidad la concesión de ayudas del «Programa </w:t>
            </w:r>
            <w:proofErr w:type="spellStart"/>
            <w:r w:rsidRPr="0042614E">
              <w:rPr>
                <w:rFonts w:ascii="Arial" w:hAnsi="Arial"/>
                <w:sz w:val="22"/>
              </w:rPr>
              <w:t>TándEM</w:t>
            </w:r>
            <w:proofErr w:type="spellEnd"/>
            <w:r w:rsidRPr="0042614E">
              <w:rPr>
                <w:rFonts w:ascii="Arial" w:hAnsi="Arial"/>
                <w:sz w:val="22"/>
              </w:rPr>
              <w:t xml:space="preserve">» para facilitar la inserción laboral de las personas jóvenes mayores de 16 y menores de 30 años sin cualificación para la formación objeto del proyecto </w:t>
            </w:r>
            <w:proofErr w:type="spellStart"/>
            <w:r w:rsidRPr="0042614E">
              <w:rPr>
                <w:rFonts w:ascii="Arial" w:hAnsi="Arial"/>
                <w:sz w:val="22"/>
              </w:rPr>
              <w:t>TándEM</w:t>
            </w:r>
            <w:proofErr w:type="spellEnd"/>
            <w:r w:rsidRPr="0042614E">
              <w:rPr>
                <w:rFonts w:ascii="Arial" w:hAnsi="Arial"/>
                <w:sz w:val="22"/>
              </w:rPr>
              <w:t xml:space="preserve"> en el que participen.</w:t>
            </w:r>
          </w:p>
        </w:tc>
      </w:tr>
      <w:tr w:rsidR="007B4B02" w14:paraId="4E3D7707" w14:textId="725D74BF" w:rsidTr="00830314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585" w:type="dxa"/>
            <w:gridSpan w:val="2"/>
          </w:tcPr>
          <w:p w14:paraId="72BCC0CD" w14:textId="67720714" w:rsidR="007B4B02" w:rsidRDefault="004261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Ministerio de trabajo y economía social</w:t>
            </w:r>
          </w:p>
        </w:tc>
      </w:tr>
      <w:tr w:rsidR="007B4B02" w14:paraId="1BF64469" w14:textId="6EFFAA34" w:rsidTr="00830314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585" w:type="dxa"/>
            <w:gridSpan w:val="2"/>
          </w:tcPr>
          <w:p w14:paraId="1638CBFC" w14:textId="3A9CDDCC" w:rsidR="007B4B02" w:rsidRDefault="004261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BOE n</w:t>
            </w:r>
            <w:r w:rsidR="006E495E">
              <w:rPr>
                <w:rFonts w:ascii="Arial" w:hAnsi="Arial"/>
                <w:sz w:val="22"/>
              </w:rPr>
              <w:t>º 111 del 7 de mayo de 2024</w:t>
            </w:r>
          </w:p>
        </w:tc>
      </w:tr>
      <w:tr w:rsidR="007B4B02" w14:paraId="045F20A7" w14:textId="689ACC13" w:rsidTr="00830314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585" w:type="dxa"/>
            <w:gridSpan w:val="2"/>
          </w:tcPr>
          <w:p w14:paraId="3150D098" w14:textId="0833C745" w:rsidR="007B4B02" w:rsidRDefault="006E495E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 xml:space="preserve">Hasta el </w:t>
            </w:r>
            <w:r w:rsidR="00192E5C">
              <w:rPr>
                <w:sz w:val="40"/>
              </w:rPr>
              <w:t>2</w:t>
            </w:r>
            <w:r w:rsidR="00403228">
              <w:rPr>
                <w:sz w:val="40"/>
              </w:rPr>
              <w:t>2</w:t>
            </w:r>
            <w:r w:rsidR="00192E5C">
              <w:rPr>
                <w:sz w:val="40"/>
              </w:rPr>
              <w:t xml:space="preserve"> de mayo de 2024</w:t>
            </w:r>
          </w:p>
        </w:tc>
      </w:tr>
      <w:tr w:rsidR="007B4B02" w14:paraId="64902722" w14:textId="4DBEC689" w:rsidTr="00830314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585" w:type="dxa"/>
            <w:gridSpan w:val="2"/>
          </w:tcPr>
          <w:p w14:paraId="1B714C7D" w14:textId="5DAC063B" w:rsidR="007B6B17" w:rsidRDefault="00C012A1" w:rsidP="00FB4615">
            <w:pPr>
              <w:rPr>
                <w:rFonts w:ascii="Arial" w:hAnsi="Arial" w:cs="Arial"/>
                <w:sz w:val="22"/>
              </w:rPr>
            </w:pPr>
            <w:r w:rsidRPr="00C012A1">
              <w:rPr>
                <w:rFonts w:ascii="Arial" w:hAnsi="Arial" w:cs="Arial"/>
                <w:sz w:val="22"/>
              </w:rPr>
              <w:t>Podrán ser beneficiarias los órganos, organismos y otras entidades del sector público estatal definidas en el artículo 2 de la Ley 47/2003, de 26 de noviembre, General Presupuestaria, así como las asociaciones, fundaciones y otras entidades sin ánimo de lucro, que se obliguen a implementar un proyecto mixto de empleo y formación para la mejora de la ocupación de las personas mayores de 16 y menores de 30 años, demandantes de empleo mediante la realización de acciones formativas y la ejecución de obras y servicios de interés general y social y sin ánimo de lucro, con la finalidad de facilitar su inserción laboral.</w:t>
            </w:r>
          </w:p>
        </w:tc>
      </w:tr>
      <w:tr w:rsidR="007B4B02" w14:paraId="4DF9E67A" w14:textId="0A355647" w:rsidTr="00830314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585" w:type="dxa"/>
            <w:gridSpan w:val="2"/>
          </w:tcPr>
          <w:p w14:paraId="1705A0E3" w14:textId="013539FB" w:rsidR="007B4B02" w:rsidRPr="00FB4615" w:rsidRDefault="00E23922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="00382BE7">
              <w:rPr>
                <w:rFonts w:ascii="Arial" w:hAnsi="Arial" w:cs="Arial"/>
                <w:sz w:val="22"/>
                <w:szCs w:val="22"/>
              </w:rPr>
              <w:t>.</w:t>
            </w:r>
            <w:r w:rsidR="00BF2C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F2C69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las bases</w:t>
            </w:r>
            <w:r w:rsidR="00BF2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4B02" w14:paraId="63B2C709" w14:textId="786CFCA9" w:rsidTr="00830314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7585" w:type="dxa"/>
            <w:gridSpan w:val="2"/>
          </w:tcPr>
          <w:p w14:paraId="1ACBF21C" w14:textId="7FB87042" w:rsidR="00DA7B9F" w:rsidRPr="00DA7B9F" w:rsidRDefault="00DA7B9F" w:rsidP="00DA7B9F">
            <w:pPr>
              <w:rPr>
                <w:rFonts w:ascii="Arial" w:hAnsi="Arial" w:cs="Arial"/>
                <w:sz w:val="22"/>
                <w:szCs w:val="22"/>
              </w:rPr>
            </w:pPr>
            <w:r w:rsidRPr="00DA7B9F">
              <w:rPr>
                <w:rFonts w:ascii="Arial" w:hAnsi="Arial" w:cs="Arial"/>
                <w:sz w:val="22"/>
                <w:szCs w:val="22"/>
              </w:rPr>
              <w:t>Mediante la presente convocatoria se pretende mejorar el cumplimiento del objetivo n.º 342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del anexo de la Decisión de Ejecución del Consejo relativa a la aprobación de la evaluación</w:t>
            </w:r>
          </w:p>
          <w:p w14:paraId="543A82A5" w14:textId="2182E4FC" w:rsidR="00A3061F" w:rsidRPr="00FB4615" w:rsidRDefault="00DA7B9F" w:rsidP="00DA7B9F">
            <w:pPr>
              <w:rPr>
                <w:rFonts w:ascii="Arial" w:hAnsi="Arial" w:cs="Arial"/>
                <w:sz w:val="22"/>
                <w:szCs w:val="22"/>
              </w:rPr>
            </w:pPr>
            <w:r w:rsidRPr="00DA7B9F">
              <w:rPr>
                <w:rFonts w:ascii="Arial" w:hAnsi="Arial" w:cs="Arial"/>
                <w:sz w:val="22"/>
                <w:szCs w:val="22"/>
              </w:rPr>
              <w:t xml:space="preserve">del Plan de Recuperación y Resiliencia de España (Council </w:t>
            </w:r>
            <w:proofErr w:type="spellStart"/>
            <w:r w:rsidRPr="00DA7B9F">
              <w:rPr>
                <w:rFonts w:ascii="Arial" w:hAnsi="Arial" w:cs="Arial"/>
                <w:sz w:val="22"/>
                <w:szCs w:val="22"/>
              </w:rPr>
              <w:t>Implementing</w:t>
            </w:r>
            <w:proofErr w:type="spellEnd"/>
            <w:r w:rsidRPr="00DA7B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7B9F">
              <w:rPr>
                <w:rFonts w:ascii="Arial" w:hAnsi="Arial" w:cs="Arial"/>
                <w:sz w:val="22"/>
                <w:szCs w:val="22"/>
              </w:rPr>
              <w:t>Decision</w:t>
            </w:r>
            <w:proofErr w:type="spellEnd"/>
            <w:r w:rsidRPr="00DA7B9F">
              <w:rPr>
                <w:rFonts w:ascii="Arial" w:hAnsi="Arial" w:cs="Arial"/>
                <w:sz w:val="22"/>
                <w:szCs w:val="22"/>
              </w:rPr>
              <w:t>-CID),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la inversión Empleo Joven C23.I1, consistente en alcanzar 21.900 personas jóvenes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desempleadas participantes, de las cuales al menos 18.300 personas han de completar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programas de juventud; estando orientado, al menos, el 25 por ciento del «Programa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7B9F">
              <w:rPr>
                <w:rFonts w:ascii="Arial" w:hAnsi="Arial" w:cs="Arial"/>
                <w:sz w:val="22"/>
                <w:szCs w:val="22"/>
              </w:rPr>
              <w:t>TándEM</w:t>
            </w:r>
            <w:proofErr w:type="spellEnd"/>
            <w:r w:rsidRPr="00DA7B9F">
              <w:rPr>
                <w:rFonts w:ascii="Arial" w:hAnsi="Arial" w:cs="Arial"/>
                <w:sz w:val="22"/>
                <w:szCs w:val="22"/>
              </w:rPr>
              <w:t>» a competencias relacionadas con el clima –etiquetado 01– Contribución a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competencias y empleos verdes y, al menos, el 25 por ciento del Programa a competencias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7B9F">
              <w:rPr>
                <w:rFonts w:ascii="Arial" w:hAnsi="Arial" w:cs="Arial"/>
                <w:sz w:val="22"/>
                <w:szCs w:val="22"/>
              </w:rPr>
              <w:t>digitales –etiquetado 108– Apoyo al desarrollo de las capacidades digitales.</w:t>
            </w:r>
          </w:p>
        </w:tc>
      </w:tr>
      <w:tr w:rsidR="007B4B02" w14:paraId="7E8E0FC4" w14:textId="01BF648D" w:rsidTr="00830314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4C734E42" w14:textId="3861D414" w:rsidR="00FB4615" w:rsidRPr="00FB4615" w:rsidRDefault="00C4221B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las bases.</w:t>
            </w:r>
          </w:p>
        </w:tc>
      </w:tr>
      <w:tr w:rsidR="007B4B02" w14:paraId="3D98FBBC" w14:textId="3551432C" w:rsidTr="00830314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331812E0" w14:textId="181153A5" w:rsidR="007B4B02" w:rsidRPr="00FB4615" w:rsidRDefault="007A268D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meses</w:t>
            </w:r>
          </w:p>
        </w:tc>
      </w:tr>
      <w:tr w:rsidR="007B4B02" w14:paraId="59013F50" w14:textId="797D8D2A" w:rsidTr="00830314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585" w:type="dxa"/>
            <w:gridSpan w:val="2"/>
          </w:tcPr>
          <w:p w14:paraId="20EDAC8C" w14:textId="2F866FD8" w:rsidR="00251D21" w:rsidRPr="00FB4615" w:rsidRDefault="00382BE7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9 de las bases.</w:t>
            </w:r>
          </w:p>
        </w:tc>
      </w:tr>
      <w:tr w:rsidR="007B4B02" w14:paraId="049FF80F" w14:textId="00B7489B" w:rsidTr="00830314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752E19C8" w14:textId="09E001C7" w:rsidR="007B4B02" w:rsidRPr="00FB4615" w:rsidRDefault="006017EC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</w:tr>
      <w:tr w:rsidR="007B4B02" w14:paraId="0D3E5302" w14:textId="34A40C8A" w:rsidTr="00830314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585" w:type="dxa"/>
            <w:gridSpan w:val="2"/>
          </w:tcPr>
          <w:p w14:paraId="74B635E4" w14:textId="3619BDEE" w:rsidR="007B4B02" w:rsidRPr="00FB4615" w:rsidRDefault="00D95F68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las bases.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36FE0" w14:textId="77777777" w:rsidR="00DF041C" w:rsidRDefault="00DF041C">
      <w:r>
        <w:separator/>
      </w:r>
    </w:p>
  </w:endnote>
  <w:endnote w:type="continuationSeparator" w:id="0">
    <w:p w14:paraId="44D940AB" w14:textId="77777777" w:rsidR="00DF041C" w:rsidRDefault="00DF041C">
      <w:r>
        <w:continuationSeparator/>
      </w:r>
    </w:p>
  </w:endnote>
  <w:endnote w:type="continuationNotice" w:id="1">
    <w:p w14:paraId="61F4B887" w14:textId="77777777" w:rsidR="00DF041C" w:rsidRDefault="00DF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3FBC6" w14:textId="77777777" w:rsidR="00DF041C" w:rsidRDefault="00DF041C">
      <w:r>
        <w:separator/>
      </w:r>
    </w:p>
  </w:footnote>
  <w:footnote w:type="continuationSeparator" w:id="0">
    <w:p w14:paraId="447FC172" w14:textId="77777777" w:rsidR="00DF041C" w:rsidRDefault="00DF041C">
      <w:r>
        <w:continuationSeparator/>
      </w:r>
    </w:p>
  </w:footnote>
  <w:footnote w:type="continuationNotice" w:id="1">
    <w:p w14:paraId="0010A1B8" w14:textId="77777777" w:rsidR="00DF041C" w:rsidRDefault="00DF0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2D03"/>
    <w:rsid w:val="000F08A9"/>
    <w:rsid w:val="000F57AF"/>
    <w:rsid w:val="00150DCF"/>
    <w:rsid w:val="00164741"/>
    <w:rsid w:val="001677AD"/>
    <w:rsid w:val="00192E5C"/>
    <w:rsid w:val="001A731A"/>
    <w:rsid w:val="001B5015"/>
    <w:rsid w:val="00237BD7"/>
    <w:rsid w:val="00251D21"/>
    <w:rsid w:val="002C2233"/>
    <w:rsid w:val="0031083C"/>
    <w:rsid w:val="00382BE7"/>
    <w:rsid w:val="0038789E"/>
    <w:rsid w:val="003E16B3"/>
    <w:rsid w:val="00402663"/>
    <w:rsid w:val="00403228"/>
    <w:rsid w:val="0042614E"/>
    <w:rsid w:val="0049556E"/>
    <w:rsid w:val="00496AD9"/>
    <w:rsid w:val="004E2BF7"/>
    <w:rsid w:val="00500698"/>
    <w:rsid w:val="005C4FB0"/>
    <w:rsid w:val="006017EC"/>
    <w:rsid w:val="00671A8E"/>
    <w:rsid w:val="006B23A5"/>
    <w:rsid w:val="006B3AE1"/>
    <w:rsid w:val="006E495E"/>
    <w:rsid w:val="0070780A"/>
    <w:rsid w:val="00711042"/>
    <w:rsid w:val="007451D5"/>
    <w:rsid w:val="00775525"/>
    <w:rsid w:val="007951E2"/>
    <w:rsid w:val="007A268D"/>
    <w:rsid w:val="007A41A7"/>
    <w:rsid w:val="007B2C5D"/>
    <w:rsid w:val="007B4B02"/>
    <w:rsid w:val="007B6B17"/>
    <w:rsid w:val="00804A53"/>
    <w:rsid w:val="00830314"/>
    <w:rsid w:val="008933EF"/>
    <w:rsid w:val="008D2564"/>
    <w:rsid w:val="008E1944"/>
    <w:rsid w:val="009074B5"/>
    <w:rsid w:val="009E7EB1"/>
    <w:rsid w:val="00A3061F"/>
    <w:rsid w:val="00A33E86"/>
    <w:rsid w:val="00A3722C"/>
    <w:rsid w:val="00B01F9F"/>
    <w:rsid w:val="00B2637A"/>
    <w:rsid w:val="00B377C0"/>
    <w:rsid w:val="00B539EA"/>
    <w:rsid w:val="00B5685E"/>
    <w:rsid w:val="00BA530D"/>
    <w:rsid w:val="00BB3E53"/>
    <w:rsid w:val="00BF2C69"/>
    <w:rsid w:val="00C012A1"/>
    <w:rsid w:val="00C12E49"/>
    <w:rsid w:val="00C2492F"/>
    <w:rsid w:val="00C4221B"/>
    <w:rsid w:val="00C42D3A"/>
    <w:rsid w:val="00C93E04"/>
    <w:rsid w:val="00CB2C10"/>
    <w:rsid w:val="00CC2915"/>
    <w:rsid w:val="00D36D2B"/>
    <w:rsid w:val="00D651BF"/>
    <w:rsid w:val="00D95F68"/>
    <w:rsid w:val="00DA7B9F"/>
    <w:rsid w:val="00DC1247"/>
    <w:rsid w:val="00DF041C"/>
    <w:rsid w:val="00E23922"/>
    <w:rsid w:val="00E321DD"/>
    <w:rsid w:val="00E55DD0"/>
    <w:rsid w:val="00EC4B4C"/>
    <w:rsid w:val="00EC5029"/>
    <w:rsid w:val="00F12942"/>
    <w:rsid w:val="00F43D94"/>
    <w:rsid w:val="00F54E63"/>
    <w:rsid w:val="00F71616"/>
    <w:rsid w:val="00FA3CCD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5" ma:contentTypeDescription="Crear nuevo documento." ma:contentTypeScope="" ma:versionID="a3605ecf7167eeb81fff4ddc248f8ef5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83998946502950cf58f11c39cf6c65aa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customXml/itemProps3.xml><?xml version="1.0" encoding="utf-8"?>
<ds:datastoreItem xmlns:ds="http://schemas.openxmlformats.org/officeDocument/2006/customXml" ds:itemID="{627FAFB0-2F41-465C-A731-42D651DD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26</cp:revision>
  <cp:lastPrinted>2003-04-24T10:54:00Z</cp:lastPrinted>
  <dcterms:created xsi:type="dcterms:W3CDTF">2024-03-21T09:09:00Z</dcterms:created>
  <dcterms:modified xsi:type="dcterms:W3CDTF">2024-05-08T16:58:00Z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